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6"/>
          <w:szCs w:val="36"/>
        </w:rPr>
      </w:pPr>
      <w:r>
        <w:rPr>
          <w:rFonts w:hint="eastAsia" w:ascii="黑体" w:hAnsi="黑体" w:eastAsia="黑体" w:cs="黑体"/>
          <w:sz w:val="36"/>
          <w:szCs w:val="36"/>
        </w:rPr>
        <w:t>蚌埠学院教师教学质量考核实施办法</w:t>
      </w:r>
    </w:p>
    <w:p>
      <w:pPr>
        <w:jc w:val="center"/>
        <w:rPr>
          <w:rFonts w:ascii="黑体" w:hAnsi="黑体" w:eastAsia="黑体" w:cs="黑体"/>
          <w:sz w:val="36"/>
          <w:szCs w:val="36"/>
        </w:rPr>
      </w:pPr>
    </w:p>
    <w:p>
      <w:pPr>
        <w:ind w:firstLine="560" w:firstLineChars="200"/>
        <w:rPr>
          <w:rFonts w:ascii="宋体" w:hAnsi="宋体" w:eastAsia="宋体" w:cs="宋体"/>
          <w:sz w:val="28"/>
          <w:szCs w:val="28"/>
        </w:rPr>
      </w:pPr>
      <w:r>
        <w:rPr>
          <w:rFonts w:ascii="宋体" w:hAnsi="宋体" w:eastAsia="宋体" w:cs="宋体"/>
          <w:sz w:val="28"/>
          <w:szCs w:val="28"/>
        </w:rPr>
        <w:t>为了进一步完善教学质量</w:t>
      </w:r>
      <w:r>
        <w:rPr>
          <w:rFonts w:hint="eastAsia" w:ascii="宋体" w:hAnsi="宋体" w:eastAsia="宋体" w:cs="宋体"/>
          <w:sz w:val="28"/>
          <w:szCs w:val="28"/>
        </w:rPr>
        <w:t>保障</w:t>
      </w:r>
      <w:r>
        <w:rPr>
          <w:rFonts w:ascii="宋体" w:hAnsi="宋体" w:eastAsia="宋体" w:cs="宋体"/>
          <w:sz w:val="28"/>
          <w:szCs w:val="28"/>
        </w:rPr>
        <w:t>体系，引导广大教师积极投身教学工作，提高教师的教学能力与水平，切实提高教学质量，促进教学改革，根据</w:t>
      </w:r>
      <w:r>
        <w:rPr>
          <w:rFonts w:hint="eastAsia" w:ascii="宋体" w:hAnsi="宋体" w:eastAsia="宋体" w:cs="宋体"/>
          <w:sz w:val="28"/>
          <w:szCs w:val="28"/>
        </w:rPr>
        <w:t>教育部《关于深化本科教育教学改革 全面提高人才培养质量的意见》（教高〔2019〕6号）《教育部关于狠抓新时代全国高等学校本科教育工作会议精神落实的通知》（教高函〔2018〕8号）等文件精神</w:t>
      </w:r>
      <w:r>
        <w:rPr>
          <w:rFonts w:ascii="宋体" w:hAnsi="宋体" w:eastAsia="宋体" w:cs="宋体"/>
          <w:sz w:val="28"/>
          <w:szCs w:val="28"/>
        </w:rPr>
        <w:t>，结合我校实际，</w:t>
      </w:r>
      <w:r>
        <w:rPr>
          <w:rFonts w:hint="eastAsia" w:ascii="宋体" w:hAnsi="宋体" w:eastAsia="宋体" w:cs="宋体"/>
          <w:sz w:val="28"/>
          <w:szCs w:val="28"/>
        </w:rPr>
        <w:t>特</w:t>
      </w:r>
      <w:r>
        <w:rPr>
          <w:rFonts w:ascii="宋体" w:hAnsi="宋体" w:eastAsia="宋体" w:cs="宋体"/>
          <w:sz w:val="28"/>
          <w:szCs w:val="28"/>
        </w:rPr>
        <w:t>制定本办法。</w:t>
      </w:r>
    </w:p>
    <w:p>
      <w:pPr>
        <w:ind w:firstLine="562" w:firstLineChars="200"/>
        <w:rPr>
          <w:rFonts w:ascii="宋体" w:hAnsi="宋体" w:eastAsia="宋体" w:cs="宋体"/>
          <w:b/>
          <w:bCs/>
          <w:sz w:val="28"/>
          <w:szCs w:val="28"/>
        </w:rPr>
      </w:pPr>
      <w:r>
        <w:rPr>
          <w:rFonts w:ascii="宋体" w:hAnsi="宋体" w:eastAsia="宋体" w:cs="宋体"/>
          <w:b/>
          <w:bCs/>
          <w:sz w:val="28"/>
          <w:szCs w:val="28"/>
        </w:rPr>
        <w:t>一、</w:t>
      </w:r>
      <w:r>
        <w:rPr>
          <w:rFonts w:hint="eastAsia" w:ascii="宋体" w:hAnsi="宋体" w:eastAsia="宋体" w:cs="宋体"/>
          <w:b/>
          <w:bCs/>
          <w:sz w:val="28"/>
          <w:szCs w:val="28"/>
        </w:rPr>
        <w:t>考核</w:t>
      </w:r>
      <w:r>
        <w:rPr>
          <w:rFonts w:ascii="宋体" w:hAnsi="宋体" w:eastAsia="宋体" w:cs="宋体"/>
          <w:b/>
          <w:bCs/>
          <w:sz w:val="28"/>
          <w:szCs w:val="28"/>
        </w:rPr>
        <w:t>指导思想、目的和原则</w:t>
      </w:r>
    </w:p>
    <w:p>
      <w:pPr>
        <w:pStyle w:val="15"/>
        <w:numPr>
          <w:ilvl w:val="0"/>
          <w:numId w:val="1"/>
        </w:numPr>
        <w:ind w:firstLineChars="0"/>
        <w:rPr>
          <w:rFonts w:ascii="宋体" w:hAnsi="宋体" w:eastAsia="宋体" w:cs="宋体"/>
          <w:sz w:val="28"/>
          <w:szCs w:val="28"/>
        </w:rPr>
      </w:pPr>
      <w:r>
        <w:rPr>
          <w:rFonts w:ascii="宋体" w:hAnsi="宋体" w:eastAsia="宋体" w:cs="宋体"/>
          <w:sz w:val="28"/>
          <w:szCs w:val="28"/>
        </w:rPr>
        <w:t>指导思想</w:t>
      </w:r>
    </w:p>
    <w:p>
      <w:pPr>
        <w:ind w:firstLine="560" w:firstLineChars="200"/>
        <w:rPr>
          <w:rFonts w:ascii="宋体" w:hAnsi="宋体" w:eastAsia="宋体" w:cs="宋体"/>
          <w:sz w:val="28"/>
          <w:szCs w:val="28"/>
        </w:rPr>
      </w:pPr>
      <w:r>
        <w:rPr>
          <w:rFonts w:hint="eastAsia" w:ascii="宋体" w:hAnsi="宋体" w:eastAsia="宋体" w:cs="宋体"/>
          <w:sz w:val="28"/>
          <w:szCs w:val="28"/>
        </w:rPr>
        <w:t>坚持以“学生中心、产出导向、持续改进”的先进教育理念为指导；遵循高等教育教学规律，适应应用型本科高等学校教学工作特点；积极开展多元评价，突出学生评价主体地位；</w:t>
      </w:r>
      <w:r>
        <w:rPr>
          <w:rFonts w:ascii="宋体" w:hAnsi="宋体" w:eastAsia="宋体" w:cs="宋体"/>
          <w:sz w:val="28"/>
          <w:szCs w:val="28"/>
        </w:rPr>
        <w:t>强调师德评价，注重教师的全面发展</w:t>
      </w:r>
      <w:r>
        <w:rPr>
          <w:rFonts w:hint="eastAsia" w:ascii="宋体" w:hAnsi="宋体" w:eastAsia="宋体" w:cs="宋体"/>
          <w:sz w:val="28"/>
          <w:szCs w:val="28"/>
        </w:rPr>
        <w:t>。</w:t>
      </w:r>
    </w:p>
    <w:p>
      <w:pPr>
        <w:ind w:firstLine="560" w:firstLineChars="200"/>
        <w:rPr>
          <w:rFonts w:ascii="宋体" w:hAnsi="宋体" w:eastAsia="宋体" w:cs="宋体"/>
          <w:sz w:val="28"/>
          <w:szCs w:val="28"/>
        </w:rPr>
      </w:pPr>
      <w:r>
        <w:rPr>
          <w:rFonts w:hint="eastAsia" w:ascii="宋体" w:hAnsi="宋体" w:eastAsia="宋体" w:cs="宋体"/>
          <w:sz w:val="28"/>
          <w:szCs w:val="28"/>
        </w:rPr>
        <w:t>（二）考核</w:t>
      </w:r>
      <w:r>
        <w:rPr>
          <w:rFonts w:ascii="宋体" w:hAnsi="宋体" w:eastAsia="宋体" w:cs="宋体"/>
          <w:sz w:val="28"/>
          <w:szCs w:val="28"/>
        </w:rPr>
        <w:t>目的</w:t>
      </w:r>
    </w:p>
    <w:p>
      <w:pPr>
        <w:ind w:firstLine="560" w:firstLineChars="200"/>
        <w:rPr>
          <w:rFonts w:ascii="宋体" w:hAnsi="宋体" w:eastAsia="宋体" w:cs="宋体"/>
          <w:sz w:val="28"/>
          <w:szCs w:val="28"/>
        </w:rPr>
      </w:pPr>
      <w:r>
        <w:rPr>
          <w:rFonts w:hint="eastAsia" w:ascii="宋体" w:hAnsi="宋体" w:eastAsia="宋体" w:cs="宋体"/>
          <w:sz w:val="28"/>
          <w:szCs w:val="28"/>
        </w:rPr>
        <w:t>教学质量考核旨在建立较为科学的教学质量评价体系，形成有效的考核评价机制，推进学校教学质量考核工作的规范化、制度化和科学化，进而激发学校和广大教师重视教学工作，改善教学方法，提高教学质量，同时为高校教师职称评审提供可靠的教学质量评价依据。</w:t>
      </w:r>
    </w:p>
    <w:p>
      <w:pPr>
        <w:ind w:left="560"/>
        <w:rPr>
          <w:rFonts w:ascii="宋体" w:hAnsi="宋体" w:eastAsia="宋体" w:cs="宋体"/>
          <w:sz w:val="28"/>
          <w:szCs w:val="28"/>
        </w:rPr>
      </w:pPr>
      <w:r>
        <w:rPr>
          <w:rFonts w:hint="eastAsia" w:ascii="宋体" w:hAnsi="宋体" w:eastAsia="宋体" w:cs="宋体"/>
          <w:sz w:val="28"/>
          <w:szCs w:val="28"/>
        </w:rPr>
        <w:t>（三）考核</w:t>
      </w:r>
      <w:r>
        <w:rPr>
          <w:rFonts w:ascii="宋体" w:hAnsi="宋体" w:eastAsia="宋体" w:cs="宋体"/>
          <w:sz w:val="28"/>
          <w:szCs w:val="28"/>
        </w:rPr>
        <w:t>原则</w:t>
      </w:r>
    </w:p>
    <w:p>
      <w:pPr>
        <w:ind w:firstLine="560" w:firstLineChars="200"/>
        <w:rPr>
          <w:rFonts w:ascii="宋体" w:hAnsi="宋体" w:eastAsia="宋体" w:cs="宋体"/>
          <w:sz w:val="28"/>
          <w:szCs w:val="28"/>
        </w:rPr>
      </w:pPr>
      <w:r>
        <w:rPr>
          <w:rFonts w:hint="eastAsia" w:ascii="宋体" w:hAnsi="宋体" w:eastAsia="宋体" w:cs="宋体"/>
          <w:sz w:val="28"/>
          <w:szCs w:val="28"/>
        </w:rPr>
        <w:t>坚持公开公平公正原则；坚持有利于学生培养和教学质量提高原则；坚持分层次和分类别相结合原则；坚持定量考核和定性考核相结合原则</w:t>
      </w:r>
      <w:r>
        <w:rPr>
          <w:rFonts w:ascii="宋体" w:hAnsi="宋体" w:eastAsia="宋体" w:cs="宋体"/>
          <w:sz w:val="28"/>
          <w:szCs w:val="28"/>
        </w:rPr>
        <w:t>。</w:t>
      </w:r>
    </w:p>
    <w:p>
      <w:pPr>
        <w:numPr>
          <w:ilvl w:val="0"/>
          <w:numId w:val="2"/>
        </w:numPr>
        <w:ind w:firstLine="562" w:firstLineChars="200"/>
        <w:rPr>
          <w:rFonts w:ascii="宋体" w:hAnsi="宋体" w:eastAsia="宋体" w:cs="宋体"/>
          <w:b/>
          <w:bCs/>
          <w:sz w:val="28"/>
          <w:szCs w:val="28"/>
        </w:rPr>
      </w:pPr>
      <w:r>
        <w:rPr>
          <w:rFonts w:hint="eastAsia" w:ascii="宋体" w:hAnsi="宋体" w:eastAsia="宋体" w:cs="宋体"/>
          <w:b/>
          <w:bCs/>
          <w:sz w:val="28"/>
          <w:szCs w:val="28"/>
        </w:rPr>
        <w:t>考核对象</w:t>
      </w:r>
    </w:p>
    <w:p>
      <w:pPr>
        <w:ind w:firstLine="560" w:firstLineChars="200"/>
        <w:rPr>
          <w:rFonts w:ascii="宋体" w:hAnsi="宋体" w:eastAsia="宋体" w:cs="宋体"/>
          <w:sz w:val="28"/>
          <w:szCs w:val="28"/>
        </w:rPr>
      </w:pPr>
      <w:r>
        <w:rPr>
          <w:rFonts w:hint="eastAsia" w:ascii="宋体" w:hAnsi="宋体" w:eastAsia="宋体" w:cs="宋体"/>
          <w:sz w:val="28"/>
          <w:szCs w:val="28"/>
        </w:rPr>
        <w:t>教师教学质量考核对象为担任该学年理论和实践课程教学任务的所有专兼职教师（以下统称教师）。</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三、考核形式</w:t>
      </w:r>
    </w:p>
    <w:p>
      <w:pPr>
        <w:ind w:firstLine="560" w:firstLineChars="200"/>
        <w:rPr>
          <w:rFonts w:ascii="宋体" w:hAnsi="宋体" w:eastAsia="宋体" w:cs="宋体"/>
          <w:sz w:val="28"/>
          <w:szCs w:val="28"/>
        </w:rPr>
      </w:pPr>
      <w:r>
        <w:rPr>
          <w:rFonts w:hint="eastAsia" w:ascii="宋体" w:hAnsi="宋体" w:eastAsia="宋体" w:cs="宋体"/>
          <w:sz w:val="28"/>
          <w:szCs w:val="28"/>
        </w:rPr>
        <w:t>根据教师教学质量考核的内容，从不同的角度出发，考核方式分为三个方面，即学生评价，教研室同行评价和院（部）领导、教学质量监控小组评价。</w:t>
      </w:r>
    </w:p>
    <w:p>
      <w:pPr>
        <w:numPr>
          <w:ilvl w:val="0"/>
          <w:numId w:val="3"/>
        </w:numPr>
        <w:ind w:firstLine="560" w:firstLineChars="200"/>
        <w:rPr>
          <w:rFonts w:ascii="宋体" w:hAnsi="宋体" w:eastAsia="宋体" w:cs="宋体"/>
          <w:sz w:val="28"/>
          <w:szCs w:val="28"/>
        </w:rPr>
      </w:pPr>
      <w:r>
        <w:rPr>
          <w:rFonts w:hint="eastAsia" w:ascii="宋体" w:hAnsi="宋体" w:eastAsia="宋体" w:cs="宋体"/>
          <w:sz w:val="28"/>
          <w:szCs w:val="28"/>
        </w:rPr>
        <w:t>学生评价</w:t>
      </w:r>
    </w:p>
    <w:p>
      <w:pPr>
        <w:ind w:firstLine="560" w:firstLineChars="200"/>
        <w:rPr>
          <w:rFonts w:ascii="宋体" w:hAnsi="宋体" w:eastAsia="宋体" w:cs="宋体"/>
          <w:sz w:val="28"/>
          <w:szCs w:val="28"/>
        </w:rPr>
      </w:pPr>
      <w:r>
        <w:rPr>
          <w:rFonts w:hint="eastAsia" w:ascii="宋体" w:hAnsi="宋体" w:eastAsia="宋体" w:cs="宋体"/>
          <w:sz w:val="28"/>
          <w:szCs w:val="28"/>
        </w:rPr>
        <w:t>1.当学年教师授课班级学生对教师教学的评价。学生根据指标体系与评分要求，在教务管理系统中对各任课教师的教学情况进行评价；</w:t>
      </w:r>
    </w:p>
    <w:p>
      <w:pPr>
        <w:ind w:firstLine="560" w:firstLineChars="200"/>
        <w:rPr>
          <w:rFonts w:ascii="宋体" w:hAnsi="宋体" w:eastAsia="宋体" w:cs="宋体"/>
          <w:sz w:val="28"/>
          <w:szCs w:val="28"/>
        </w:rPr>
      </w:pPr>
      <w:r>
        <w:rPr>
          <w:rFonts w:hint="eastAsia" w:ascii="宋体" w:hAnsi="宋体" w:eastAsia="宋体" w:cs="宋体"/>
          <w:sz w:val="28"/>
          <w:szCs w:val="28"/>
        </w:rPr>
        <w:t>2.学生对教师指导的评价，包括学业指导、人文素质教育指导、大学生社团指导和创业指导等。</w:t>
      </w:r>
    </w:p>
    <w:p>
      <w:pPr>
        <w:ind w:firstLine="560" w:firstLineChars="200"/>
        <w:rPr>
          <w:rFonts w:ascii="宋体" w:hAnsi="宋体" w:eastAsia="宋体" w:cs="宋体"/>
          <w:sz w:val="28"/>
          <w:szCs w:val="28"/>
        </w:rPr>
      </w:pPr>
      <w:r>
        <w:rPr>
          <w:rFonts w:hint="eastAsia" w:ascii="宋体" w:hAnsi="宋体" w:eastAsia="宋体" w:cs="宋体"/>
          <w:sz w:val="28"/>
          <w:szCs w:val="28"/>
        </w:rPr>
        <w:t>（二）教研室同行评价</w:t>
      </w:r>
    </w:p>
    <w:p>
      <w:pPr>
        <w:ind w:firstLine="560" w:firstLineChars="200"/>
        <w:rPr>
          <w:rFonts w:ascii="宋体" w:hAnsi="宋体" w:eastAsia="宋体" w:cs="宋体"/>
          <w:sz w:val="28"/>
          <w:szCs w:val="28"/>
        </w:rPr>
      </w:pPr>
      <w:r>
        <w:rPr>
          <w:rFonts w:hint="eastAsia" w:ascii="宋体" w:hAnsi="宋体" w:eastAsia="宋体" w:cs="宋体"/>
          <w:sz w:val="28"/>
          <w:szCs w:val="28"/>
        </w:rPr>
        <w:t>由各院（部）根据学校的安排统一组织，按要求组织听课并填写</w:t>
      </w:r>
      <w:r>
        <w:rPr>
          <w:rFonts w:hint="eastAsia" w:ascii="宋体" w:hAnsi="宋体" w:eastAsia="宋体" w:cs="宋体"/>
          <w:color w:val="000000" w:themeColor="text1"/>
          <w:sz w:val="28"/>
          <w:szCs w:val="28"/>
          <w14:textFill>
            <w14:solidFill>
              <w14:schemeClr w14:val="tx1"/>
            </w14:solidFill>
          </w14:textFill>
        </w:rPr>
        <w:t>教学质量评价表</w:t>
      </w:r>
      <w:r>
        <w:rPr>
          <w:rFonts w:hint="eastAsia" w:ascii="宋体" w:hAnsi="宋体" w:eastAsia="宋体" w:cs="宋体"/>
          <w:sz w:val="28"/>
          <w:szCs w:val="28"/>
        </w:rPr>
        <w:t>。</w:t>
      </w:r>
    </w:p>
    <w:p>
      <w:pPr>
        <w:ind w:left="420" w:leftChars="200"/>
        <w:rPr>
          <w:rFonts w:ascii="宋体" w:hAnsi="宋体" w:eastAsia="宋体" w:cs="宋体"/>
          <w:sz w:val="28"/>
          <w:szCs w:val="28"/>
        </w:rPr>
      </w:pPr>
      <w:r>
        <w:rPr>
          <w:rFonts w:hint="eastAsia" w:ascii="宋体" w:hAnsi="宋体" w:eastAsia="宋体" w:cs="宋体"/>
          <w:sz w:val="28"/>
          <w:szCs w:val="28"/>
        </w:rPr>
        <w:t>（三）院（部）领导、教学质量监控小组评价</w:t>
      </w:r>
    </w:p>
    <w:p>
      <w:pPr>
        <w:ind w:firstLine="560" w:firstLineChars="200"/>
        <w:rPr>
          <w:rFonts w:ascii="宋体" w:hAnsi="宋体" w:eastAsia="宋体" w:cs="宋体"/>
          <w:sz w:val="28"/>
          <w:szCs w:val="28"/>
        </w:rPr>
      </w:pPr>
      <w:r>
        <w:rPr>
          <w:rFonts w:hint="eastAsia" w:ascii="宋体" w:hAnsi="宋体" w:eastAsia="宋体" w:cs="宋体"/>
          <w:sz w:val="28"/>
          <w:szCs w:val="28"/>
        </w:rPr>
        <w:t>院（部）领导、教学质量监控小组除根据听课计划安排组织听课并填写教学质量评价表外，还要检查教案、教学日历、教学大纲等撰写与执行情况，并及时进行结果统计与汇总。</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四、考核计分办法</w:t>
      </w:r>
    </w:p>
    <w:p>
      <w:pPr>
        <w:ind w:firstLine="560" w:firstLineChars="200"/>
        <w:rPr>
          <w:rFonts w:ascii="宋体" w:hAnsi="宋体" w:eastAsia="宋体" w:cs="宋体"/>
          <w:sz w:val="28"/>
          <w:szCs w:val="28"/>
        </w:rPr>
      </w:pPr>
      <w:r>
        <w:rPr>
          <w:rFonts w:hint="eastAsia" w:ascii="宋体" w:hAnsi="宋体" w:eastAsia="宋体" w:cs="宋体"/>
          <w:sz w:val="28"/>
          <w:szCs w:val="28"/>
        </w:rPr>
        <w:t xml:space="preserve">（一）考核分值占比 </w:t>
      </w:r>
    </w:p>
    <w:p>
      <w:pPr>
        <w:ind w:firstLine="560" w:firstLineChars="200"/>
        <w:rPr>
          <w:rFonts w:ascii="宋体" w:hAnsi="宋体" w:eastAsia="宋体" w:cs="宋体"/>
          <w:sz w:val="28"/>
          <w:szCs w:val="28"/>
        </w:rPr>
      </w:pPr>
      <w:r>
        <w:rPr>
          <w:rFonts w:hint="eastAsia" w:ascii="宋体" w:hAnsi="宋体" w:eastAsia="宋体" w:cs="宋体"/>
          <w:sz w:val="28"/>
          <w:szCs w:val="28"/>
        </w:rPr>
        <w:t>教师教学质量考核总分为100分，其中学生评价占50%（教学评价占40%，指导学生评价占10%，无学生的教学单位教学评价按50%计算），教学评价、学生对教师指导的评价按照学年教师个人平均分进行计算。教研室同行评价占30%，院（部）领导、教学质量监控小组评价占20%。</w:t>
      </w:r>
    </w:p>
    <w:p>
      <w:pPr>
        <w:ind w:firstLine="560" w:firstLineChars="200"/>
        <w:rPr>
          <w:rFonts w:ascii="宋体" w:hAnsi="宋体" w:eastAsia="宋体" w:cs="宋体"/>
          <w:sz w:val="28"/>
          <w:szCs w:val="28"/>
        </w:rPr>
      </w:pPr>
      <w:r>
        <w:rPr>
          <w:rFonts w:hint="eastAsia" w:ascii="宋体" w:hAnsi="宋体" w:eastAsia="宋体" w:cs="宋体"/>
          <w:sz w:val="28"/>
          <w:szCs w:val="28"/>
        </w:rPr>
        <w:t>（二）考核等次及比例</w:t>
      </w:r>
    </w:p>
    <w:p>
      <w:pPr>
        <w:ind w:firstLine="560" w:firstLineChars="200"/>
        <w:rPr>
          <w:rFonts w:ascii="宋体" w:hAnsi="宋体" w:eastAsia="宋体" w:cs="宋体"/>
          <w:sz w:val="28"/>
          <w:szCs w:val="28"/>
        </w:rPr>
      </w:pPr>
      <w:r>
        <w:rPr>
          <w:rFonts w:hint="eastAsia" w:ascii="宋体" w:hAnsi="宋体" w:eastAsia="宋体" w:cs="宋体"/>
          <w:sz w:val="28"/>
          <w:szCs w:val="28"/>
        </w:rPr>
        <w:t>1.教师教学考核每学年考核一次，结果分为优秀、良好、合格、不合格四个等次；</w:t>
      </w:r>
    </w:p>
    <w:p>
      <w:pPr>
        <w:ind w:firstLine="560" w:firstLineChars="200"/>
        <w:rPr>
          <w:rFonts w:ascii="宋体" w:hAnsi="宋体" w:eastAsia="宋体" w:cs="宋体"/>
          <w:sz w:val="28"/>
          <w:szCs w:val="28"/>
        </w:rPr>
      </w:pPr>
      <w:r>
        <w:rPr>
          <w:rFonts w:hint="eastAsia" w:ascii="宋体" w:hAnsi="宋体" w:eastAsia="宋体" w:cs="宋体"/>
          <w:sz w:val="28"/>
          <w:szCs w:val="28"/>
        </w:rPr>
        <w:t>2.考核成绩在85分以上且成绩排名在本教学单位前25%、学生评教成绩排名在本教学单位前50%的为优秀；</w:t>
      </w:r>
    </w:p>
    <w:p>
      <w:pPr>
        <w:ind w:firstLine="560" w:firstLineChars="200"/>
        <w:rPr>
          <w:rFonts w:ascii="宋体" w:hAnsi="宋体" w:eastAsia="宋体" w:cs="宋体"/>
          <w:sz w:val="28"/>
          <w:szCs w:val="28"/>
        </w:rPr>
      </w:pPr>
      <w:r>
        <w:rPr>
          <w:rFonts w:hint="eastAsia" w:ascii="宋体" w:hAnsi="宋体" w:eastAsia="宋体" w:cs="宋体"/>
          <w:sz w:val="28"/>
          <w:szCs w:val="28"/>
        </w:rPr>
        <w:t>3.合格、不合格的比例之和不得低于本教学单位参加考核教师总数的15％；</w:t>
      </w:r>
    </w:p>
    <w:p>
      <w:pPr>
        <w:ind w:firstLine="560" w:firstLineChars="200"/>
        <w:rPr>
          <w:rFonts w:ascii="宋体" w:hAnsi="宋体" w:eastAsia="宋体" w:cs="宋体"/>
          <w:sz w:val="28"/>
          <w:szCs w:val="28"/>
        </w:rPr>
      </w:pPr>
      <w:r>
        <w:rPr>
          <w:rFonts w:hint="eastAsia" w:ascii="宋体" w:hAnsi="宋体" w:eastAsia="宋体" w:cs="宋体"/>
          <w:sz w:val="28"/>
          <w:szCs w:val="28"/>
        </w:rPr>
        <w:t>4.在总分相同情况下，学生评价分数高的优先。</w:t>
      </w:r>
    </w:p>
    <w:p>
      <w:pPr>
        <w:ind w:firstLine="560" w:firstLineChars="200"/>
        <w:rPr>
          <w:rFonts w:ascii="宋体" w:hAnsi="宋体" w:eastAsia="宋体" w:cs="宋体"/>
          <w:sz w:val="28"/>
          <w:szCs w:val="28"/>
        </w:rPr>
      </w:pPr>
      <w:r>
        <w:rPr>
          <w:rFonts w:hint="eastAsia" w:ascii="宋体" w:hAnsi="宋体" w:eastAsia="宋体" w:cs="宋体"/>
          <w:sz w:val="28"/>
          <w:szCs w:val="28"/>
        </w:rPr>
        <w:t>（三）加分项目</w:t>
      </w:r>
    </w:p>
    <w:p>
      <w:pPr>
        <w:ind w:firstLine="560" w:firstLineChars="200"/>
        <w:rPr>
          <w:rFonts w:ascii="宋体" w:hAnsi="宋体" w:eastAsia="宋体" w:cs="宋体"/>
          <w:sz w:val="28"/>
          <w:szCs w:val="28"/>
        </w:rPr>
      </w:pPr>
      <w:r>
        <w:rPr>
          <w:rFonts w:hint="eastAsia" w:ascii="宋体" w:hAnsi="宋体" w:eastAsia="宋体" w:cs="宋体"/>
          <w:sz w:val="28"/>
          <w:szCs w:val="28"/>
        </w:rPr>
        <w:t>1.所有附件表中包含的“加分项目”必须是当学年内立项、发表、出版或者完成的，时间为上一年6月1日至次年的5月31日，加分项目时间认定以文件发布时间、证书落款时间、出版时间为准；</w:t>
      </w:r>
    </w:p>
    <w:p>
      <w:pPr>
        <w:ind w:firstLine="560" w:firstLineChars="200"/>
        <w:rPr>
          <w:rFonts w:ascii="宋体" w:hAnsi="宋体" w:eastAsia="宋体" w:cs="宋体"/>
          <w:sz w:val="28"/>
          <w:szCs w:val="28"/>
        </w:rPr>
      </w:pPr>
      <w:r>
        <w:rPr>
          <w:rFonts w:hint="eastAsia" w:ascii="宋体" w:hAnsi="宋体" w:eastAsia="宋体" w:cs="宋体"/>
          <w:sz w:val="28"/>
          <w:szCs w:val="28"/>
        </w:rPr>
        <w:t>2.参加考核的教师每人项目加分最高不能超过6分；</w:t>
      </w:r>
    </w:p>
    <w:p>
      <w:pPr>
        <w:ind w:firstLine="560" w:firstLineChars="200"/>
        <w:rPr>
          <w:rFonts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color w:val="000000" w:themeColor="text1"/>
          <w:sz w:val="28"/>
          <w:szCs w:val="28"/>
          <w14:textFill>
            <w14:solidFill>
              <w14:schemeClr w14:val="tx1"/>
            </w14:solidFill>
          </w14:textFill>
        </w:rPr>
        <w:t>每个项目只能加分一次；</w:t>
      </w:r>
    </w:p>
    <w:p>
      <w:pPr>
        <w:ind w:firstLine="560" w:firstLineChars="200"/>
        <w:rPr>
          <w:rFonts w:ascii="宋体" w:hAnsi="宋体" w:eastAsia="宋体" w:cs="宋体"/>
          <w:sz w:val="28"/>
          <w:szCs w:val="28"/>
        </w:rPr>
      </w:pPr>
      <w:r>
        <w:rPr>
          <w:rFonts w:hint="eastAsia" w:ascii="宋体" w:hAnsi="宋体" w:eastAsia="宋体" w:cs="宋体"/>
          <w:sz w:val="28"/>
          <w:szCs w:val="28"/>
        </w:rPr>
        <w:t>4.</w:t>
      </w:r>
      <w:r>
        <w:rPr>
          <w:rFonts w:ascii="宋体" w:hAnsi="宋体" w:eastAsia="宋体" w:cs="宋体"/>
          <w:sz w:val="28"/>
          <w:szCs w:val="28"/>
        </w:rPr>
        <w:t>集体类项目</w:t>
      </w:r>
      <w:r>
        <w:rPr>
          <w:rFonts w:hint="eastAsia" w:ascii="宋体" w:hAnsi="宋体" w:eastAsia="宋体" w:cs="宋体"/>
          <w:sz w:val="28"/>
          <w:szCs w:val="28"/>
        </w:rPr>
        <w:t>负责</w:t>
      </w:r>
      <w:r>
        <w:rPr>
          <w:rFonts w:ascii="宋体" w:hAnsi="宋体" w:eastAsia="宋体" w:cs="宋体"/>
          <w:sz w:val="28"/>
          <w:szCs w:val="28"/>
        </w:rPr>
        <w:t>人加分不超过项目总加分的1/2，项目组其他成员</w:t>
      </w:r>
      <w:r>
        <w:rPr>
          <w:rFonts w:hint="eastAsia" w:ascii="宋体" w:hAnsi="宋体" w:eastAsia="宋体" w:cs="宋体"/>
          <w:sz w:val="28"/>
          <w:szCs w:val="28"/>
        </w:rPr>
        <w:t>前三名分别加项目总分的</w:t>
      </w:r>
      <w:r>
        <w:rPr>
          <w:rFonts w:ascii="宋体" w:hAnsi="宋体" w:eastAsia="宋体" w:cs="宋体"/>
          <w:sz w:val="28"/>
          <w:szCs w:val="28"/>
        </w:rPr>
        <w:t>1/</w:t>
      </w:r>
      <w:r>
        <w:rPr>
          <w:rFonts w:hint="eastAsia" w:ascii="宋体" w:hAnsi="宋体" w:eastAsia="宋体" w:cs="宋体"/>
          <w:sz w:val="28"/>
          <w:szCs w:val="28"/>
        </w:rPr>
        <w:t>4、</w:t>
      </w:r>
      <w:r>
        <w:rPr>
          <w:rFonts w:ascii="宋体" w:hAnsi="宋体" w:eastAsia="宋体" w:cs="宋体"/>
          <w:sz w:val="28"/>
          <w:szCs w:val="28"/>
        </w:rPr>
        <w:t>1/</w:t>
      </w:r>
      <w:r>
        <w:rPr>
          <w:rFonts w:hint="eastAsia" w:ascii="宋体" w:hAnsi="宋体" w:eastAsia="宋体" w:cs="宋体"/>
          <w:sz w:val="28"/>
          <w:szCs w:val="28"/>
        </w:rPr>
        <w:t>8、</w:t>
      </w:r>
      <w:r>
        <w:rPr>
          <w:rFonts w:ascii="宋体" w:hAnsi="宋体" w:eastAsia="宋体" w:cs="宋体"/>
          <w:sz w:val="28"/>
          <w:szCs w:val="28"/>
        </w:rPr>
        <w:t>1/</w:t>
      </w:r>
      <w:r>
        <w:rPr>
          <w:rFonts w:hint="eastAsia" w:ascii="宋体" w:hAnsi="宋体" w:eastAsia="宋体" w:cs="宋体"/>
          <w:sz w:val="28"/>
          <w:szCs w:val="28"/>
        </w:rPr>
        <w:t>8；</w:t>
      </w:r>
    </w:p>
    <w:p>
      <w:pPr>
        <w:ind w:firstLine="560" w:firstLineChars="200"/>
        <w:rPr>
          <w:rFonts w:ascii="宋体" w:hAnsi="宋体" w:eastAsia="宋体" w:cs="宋体"/>
          <w:sz w:val="28"/>
          <w:szCs w:val="28"/>
        </w:rPr>
      </w:pPr>
      <w:r>
        <w:rPr>
          <w:rFonts w:hint="eastAsia" w:ascii="宋体" w:hAnsi="宋体" w:eastAsia="宋体" w:cs="宋体"/>
          <w:sz w:val="28"/>
          <w:szCs w:val="28"/>
        </w:rPr>
        <w:t>5.教育教学研究论文加分仅限第一作者；</w:t>
      </w:r>
    </w:p>
    <w:p>
      <w:pPr>
        <w:ind w:firstLine="560" w:firstLineChars="200"/>
        <w:rPr>
          <w:rFonts w:ascii="宋体" w:hAnsi="宋体" w:eastAsia="宋体" w:cs="宋体"/>
          <w:sz w:val="28"/>
          <w:szCs w:val="28"/>
        </w:rPr>
      </w:pPr>
      <w:r>
        <w:rPr>
          <w:rFonts w:hint="eastAsia" w:ascii="宋体" w:hAnsi="宋体" w:eastAsia="宋体" w:cs="宋体"/>
          <w:sz w:val="28"/>
          <w:szCs w:val="28"/>
        </w:rPr>
        <w:t>6.加分项目由职能归口管理部门负责认定；</w:t>
      </w:r>
    </w:p>
    <w:p>
      <w:pPr>
        <w:ind w:firstLine="560" w:firstLineChars="200"/>
        <w:rPr>
          <w:rFonts w:ascii="宋体" w:hAnsi="宋体" w:eastAsia="宋体" w:cs="宋体"/>
          <w:sz w:val="28"/>
          <w:szCs w:val="28"/>
        </w:rPr>
      </w:pPr>
      <w:r>
        <w:rPr>
          <w:rFonts w:hint="eastAsia" w:ascii="宋体" w:hAnsi="宋体" w:eastAsia="宋体" w:cs="宋体"/>
          <w:sz w:val="28"/>
          <w:szCs w:val="28"/>
        </w:rPr>
        <w:t>7.具体加分项参照附件《蚌埠学院教师教学工作年度评价成绩表》。</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五、特殊情形考核认定</w:t>
      </w:r>
    </w:p>
    <w:p>
      <w:pPr>
        <w:ind w:firstLine="560" w:firstLineChars="200"/>
        <w:rPr>
          <w:rFonts w:ascii="宋体" w:hAnsi="宋体" w:eastAsia="宋体" w:cs="宋体"/>
          <w:sz w:val="28"/>
          <w:szCs w:val="28"/>
        </w:rPr>
      </w:pPr>
      <w:r>
        <w:rPr>
          <w:rFonts w:hint="eastAsia" w:ascii="宋体" w:hAnsi="宋体" w:eastAsia="宋体" w:cs="宋体"/>
          <w:sz w:val="28"/>
          <w:szCs w:val="28"/>
        </w:rPr>
        <w:t>（一）存在以下情形者，教学质量考核不得评为优秀等次</w:t>
      </w:r>
    </w:p>
    <w:p>
      <w:pPr>
        <w:ind w:firstLine="560" w:firstLineChars="200"/>
        <w:rPr>
          <w:rFonts w:ascii="宋体" w:hAnsi="宋体" w:eastAsia="宋体" w:cs="宋体"/>
          <w:sz w:val="28"/>
          <w:szCs w:val="28"/>
        </w:rPr>
      </w:pPr>
      <w:r>
        <w:rPr>
          <w:rFonts w:hint="eastAsia" w:ascii="宋体" w:hAnsi="宋体" w:eastAsia="宋体" w:cs="宋体"/>
          <w:sz w:val="28"/>
          <w:szCs w:val="28"/>
        </w:rPr>
        <w:t>1.学生评教位于院（部）后50%者；</w:t>
      </w:r>
    </w:p>
    <w:p>
      <w:pPr>
        <w:ind w:firstLine="560" w:firstLineChars="200"/>
        <w:rPr>
          <w:rFonts w:ascii="宋体" w:hAnsi="宋体" w:eastAsia="宋体" w:cs="宋体"/>
          <w:sz w:val="28"/>
          <w:szCs w:val="28"/>
        </w:rPr>
      </w:pPr>
      <w:r>
        <w:rPr>
          <w:rFonts w:hint="eastAsia" w:ascii="宋体" w:hAnsi="宋体" w:eastAsia="宋体" w:cs="宋体"/>
          <w:sz w:val="28"/>
          <w:szCs w:val="28"/>
        </w:rPr>
        <w:t>2.学年内被通报批评者；</w:t>
      </w:r>
    </w:p>
    <w:p>
      <w:pPr>
        <w:ind w:firstLine="560" w:firstLineChars="200"/>
        <w:rPr>
          <w:rFonts w:ascii="宋体" w:hAnsi="宋体" w:eastAsia="宋体" w:cs="宋体"/>
          <w:sz w:val="28"/>
          <w:szCs w:val="28"/>
        </w:rPr>
      </w:pPr>
      <w:r>
        <w:rPr>
          <w:rFonts w:hint="eastAsia" w:ascii="宋体" w:hAnsi="宋体" w:eastAsia="宋体" w:cs="宋体"/>
          <w:sz w:val="28"/>
          <w:szCs w:val="28"/>
        </w:rPr>
        <w:t>3.学年完成课堂理论和实验教学学时低于160</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乘系数后</w:t>
      </w:r>
      <w:r>
        <w:rPr>
          <w:rFonts w:hint="eastAsia" w:ascii="宋体" w:hAnsi="宋体" w:eastAsia="宋体" w:cs="宋体"/>
          <w:sz w:val="28"/>
          <w:szCs w:val="28"/>
          <w:lang w:eastAsia="zh-CN"/>
        </w:rPr>
        <w:t>）</w:t>
      </w:r>
      <w:r>
        <w:rPr>
          <w:rFonts w:hint="eastAsia" w:ascii="宋体" w:hAnsi="宋体" w:eastAsia="宋体" w:cs="宋体"/>
          <w:sz w:val="28"/>
          <w:szCs w:val="28"/>
        </w:rPr>
        <w:t>者。</w:t>
      </w:r>
    </w:p>
    <w:p>
      <w:pPr>
        <w:ind w:firstLine="560" w:firstLineChars="200"/>
        <w:rPr>
          <w:rFonts w:ascii="宋体" w:hAnsi="宋体" w:eastAsia="宋体" w:cs="宋体"/>
          <w:sz w:val="28"/>
          <w:szCs w:val="28"/>
        </w:rPr>
      </w:pPr>
      <w:r>
        <w:rPr>
          <w:rFonts w:hint="eastAsia" w:ascii="宋体" w:hAnsi="宋体" w:eastAsia="宋体" w:cs="宋体"/>
          <w:sz w:val="28"/>
          <w:szCs w:val="28"/>
        </w:rPr>
        <w:t>（二）存在以下情形者，教学质量考核可以直接认定为合格等次</w:t>
      </w:r>
    </w:p>
    <w:p>
      <w:pPr>
        <w:ind w:firstLine="560" w:firstLineChars="200"/>
        <w:rPr>
          <w:rFonts w:ascii="宋体" w:hAnsi="宋体" w:eastAsia="宋体" w:cs="宋体"/>
          <w:sz w:val="28"/>
          <w:szCs w:val="28"/>
        </w:rPr>
      </w:pPr>
      <w:r>
        <w:rPr>
          <w:rFonts w:hint="eastAsia" w:ascii="宋体" w:hAnsi="宋体" w:eastAsia="宋体" w:cs="宋体"/>
          <w:sz w:val="28"/>
          <w:szCs w:val="28"/>
        </w:rPr>
        <w:t>1.管理及综合岗位人员在岗位上履职尽责情况良好者；</w:t>
      </w:r>
    </w:p>
    <w:p>
      <w:pPr>
        <w:ind w:firstLine="560" w:firstLineChars="200"/>
        <w:rPr>
          <w:rFonts w:ascii="宋体" w:hAnsi="宋体" w:eastAsia="宋体" w:cs="宋体"/>
          <w:sz w:val="28"/>
          <w:szCs w:val="28"/>
        </w:rPr>
      </w:pPr>
      <w:r>
        <w:rPr>
          <w:rFonts w:hint="eastAsia" w:ascii="宋体" w:hAnsi="宋体" w:eastAsia="宋体" w:cs="宋体"/>
          <w:sz w:val="28"/>
          <w:szCs w:val="28"/>
        </w:rPr>
        <w:t>2.获学校批准访学、进修、挂职锻炼等但未承担教学工作任务的教师。</w:t>
      </w:r>
    </w:p>
    <w:p>
      <w:pPr>
        <w:ind w:firstLine="560" w:firstLineChars="200"/>
        <w:rPr>
          <w:rFonts w:ascii="宋体" w:hAnsi="宋体" w:eastAsia="宋体" w:cs="宋体"/>
          <w:sz w:val="28"/>
          <w:szCs w:val="28"/>
        </w:rPr>
      </w:pPr>
      <w:r>
        <w:rPr>
          <w:rFonts w:hint="eastAsia" w:ascii="宋体" w:hAnsi="宋体" w:eastAsia="宋体" w:cs="宋体"/>
          <w:sz w:val="28"/>
          <w:szCs w:val="28"/>
        </w:rPr>
        <w:t>（三）存在以下情形者，教学质量考核评定为不合格等次</w:t>
      </w:r>
    </w:p>
    <w:p>
      <w:pPr>
        <w:ind w:firstLine="560" w:firstLineChars="200"/>
        <w:rPr>
          <w:rFonts w:ascii="宋体" w:hAnsi="宋体" w:eastAsia="宋体" w:cs="宋体"/>
          <w:sz w:val="28"/>
          <w:szCs w:val="28"/>
        </w:rPr>
      </w:pPr>
      <w:r>
        <w:rPr>
          <w:rFonts w:hint="eastAsia" w:ascii="宋体" w:hAnsi="宋体" w:eastAsia="宋体" w:cs="宋体"/>
          <w:sz w:val="28"/>
          <w:szCs w:val="28"/>
        </w:rPr>
        <w:t>1.学年内出现教学事故者；</w:t>
      </w:r>
    </w:p>
    <w:p>
      <w:pPr>
        <w:ind w:firstLine="560" w:firstLineChars="200"/>
        <w:rPr>
          <w:rFonts w:ascii="宋体" w:hAnsi="宋体" w:eastAsia="宋体" w:cs="宋体"/>
          <w:sz w:val="28"/>
          <w:szCs w:val="28"/>
        </w:rPr>
      </w:pPr>
      <w:r>
        <w:rPr>
          <w:rFonts w:hint="eastAsia" w:ascii="宋体" w:hAnsi="宋体" w:eastAsia="宋体" w:cs="宋体"/>
          <w:sz w:val="28"/>
          <w:szCs w:val="28"/>
        </w:rPr>
        <w:t>2.学年内出现影响恶劣的事件、师德师风低下者；</w:t>
      </w:r>
    </w:p>
    <w:p>
      <w:pPr>
        <w:ind w:firstLine="560" w:firstLineChars="200"/>
        <w:rPr>
          <w:rFonts w:ascii="宋体" w:hAnsi="宋体" w:eastAsia="宋体" w:cs="宋体"/>
          <w:sz w:val="28"/>
          <w:szCs w:val="28"/>
        </w:rPr>
      </w:pPr>
      <w:r>
        <w:rPr>
          <w:rFonts w:hint="eastAsia" w:ascii="宋体" w:hAnsi="宋体" w:eastAsia="宋体" w:cs="宋体"/>
          <w:sz w:val="28"/>
          <w:szCs w:val="28"/>
        </w:rPr>
        <w:t>3.教师学年完成课堂理论和实验教学学时为0者（除学校批准的访学、进修、挂职者外）。</w:t>
      </w:r>
    </w:p>
    <w:p>
      <w:pPr>
        <w:ind w:firstLine="560" w:firstLineChars="200"/>
        <w:rPr>
          <w:rFonts w:ascii="宋体" w:hAnsi="宋体" w:eastAsia="宋体" w:cs="宋体"/>
          <w:sz w:val="28"/>
          <w:szCs w:val="28"/>
        </w:rPr>
      </w:pPr>
      <w:r>
        <w:rPr>
          <w:rFonts w:hint="eastAsia" w:ascii="宋体" w:hAnsi="宋体" w:eastAsia="宋体" w:cs="宋体"/>
          <w:sz w:val="28"/>
          <w:szCs w:val="28"/>
        </w:rPr>
        <w:t>（四）存在以下情形者，教学质量考核不定等次</w:t>
      </w:r>
    </w:p>
    <w:p>
      <w:pPr>
        <w:ind w:firstLine="560" w:firstLineChars="200"/>
        <w:rPr>
          <w:rFonts w:ascii="宋体" w:hAnsi="宋体" w:eastAsia="宋体" w:cs="宋体"/>
          <w:sz w:val="28"/>
          <w:szCs w:val="28"/>
        </w:rPr>
      </w:pPr>
      <w:r>
        <w:rPr>
          <w:rFonts w:hint="eastAsia" w:ascii="宋体" w:hAnsi="宋体" w:eastAsia="宋体" w:cs="宋体"/>
          <w:sz w:val="28"/>
          <w:szCs w:val="28"/>
        </w:rPr>
        <w:t>1.学年在校历规定的正常教学周内累计病假超过25周者；</w:t>
      </w:r>
    </w:p>
    <w:p>
      <w:pPr>
        <w:ind w:firstLine="560" w:firstLineChars="200"/>
        <w:rPr>
          <w:rFonts w:ascii="宋体" w:hAnsi="宋体" w:eastAsia="宋体" w:cs="宋体"/>
          <w:sz w:val="28"/>
          <w:szCs w:val="28"/>
        </w:rPr>
      </w:pPr>
      <w:r>
        <w:rPr>
          <w:rFonts w:hint="eastAsia" w:ascii="宋体" w:hAnsi="宋体" w:eastAsia="宋体" w:cs="宋体"/>
          <w:sz w:val="28"/>
          <w:szCs w:val="28"/>
        </w:rPr>
        <w:t>2.入职不满一年者。</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六、考核的组织实施</w:t>
      </w:r>
    </w:p>
    <w:p>
      <w:pPr>
        <w:ind w:firstLine="560" w:firstLineChars="200"/>
        <w:rPr>
          <w:rFonts w:ascii="宋体" w:hAnsi="宋体" w:eastAsia="宋体" w:cs="宋体"/>
          <w:sz w:val="28"/>
          <w:szCs w:val="28"/>
        </w:rPr>
      </w:pPr>
      <w:r>
        <w:rPr>
          <w:rFonts w:hint="eastAsia" w:ascii="宋体" w:hAnsi="宋体" w:eastAsia="宋体" w:cs="宋体"/>
          <w:sz w:val="28"/>
          <w:szCs w:val="28"/>
        </w:rPr>
        <w:t>（一）教师教学质量考核工作由教学质量监控办公室统一组织，各院（部）负责具体实施学生评价、教研室同行评价和教学质量监控小组评价。</w:t>
      </w:r>
    </w:p>
    <w:p>
      <w:pPr>
        <w:ind w:firstLine="560" w:firstLineChars="200"/>
        <w:rPr>
          <w:rFonts w:ascii="宋体" w:hAnsi="宋体" w:eastAsia="宋体" w:cs="宋体"/>
          <w:sz w:val="28"/>
          <w:szCs w:val="28"/>
        </w:rPr>
      </w:pPr>
      <w:r>
        <w:rPr>
          <w:rFonts w:hint="eastAsia" w:ascii="宋体" w:hAnsi="宋体" w:eastAsia="宋体" w:cs="宋体"/>
          <w:sz w:val="28"/>
          <w:szCs w:val="28"/>
        </w:rPr>
        <w:t>（二）考核工作结束后，所有原始资料统一由院（部）保存，考核结果报教学质量监控办公室。</w:t>
      </w:r>
    </w:p>
    <w:p>
      <w:pPr>
        <w:ind w:firstLine="560" w:firstLineChars="200"/>
        <w:rPr>
          <w:rFonts w:ascii="宋体" w:hAnsi="宋体" w:eastAsia="宋体" w:cs="宋体"/>
          <w:sz w:val="28"/>
          <w:szCs w:val="28"/>
        </w:rPr>
      </w:pPr>
      <w:r>
        <w:rPr>
          <w:rFonts w:hint="eastAsia" w:ascii="宋体" w:hAnsi="宋体" w:eastAsia="宋体" w:cs="宋体"/>
          <w:sz w:val="28"/>
          <w:szCs w:val="28"/>
        </w:rPr>
        <w:t>（三）教学质量监控办公室负责将考核结果在校园网予以公示，公示期7天。</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七、考核结果的应用</w:t>
      </w:r>
    </w:p>
    <w:p>
      <w:pPr>
        <w:ind w:firstLine="560" w:firstLineChars="200"/>
        <w:rPr>
          <w:rFonts w:ascii="宋体" w:hAnsi="宋体" w:eastAsia="宋体" w:cs="宋体"/>
          <w:sz w:val="28"/>
          <w:szCs w:val="28"/>
        </w:rPr>
      </w:pPr>
      <w:r>
        <w:rPr>
          <w:rFonts w:hint="eastAsia" w:ascii="宋体" w:hAnsi="宋体" w:eastAsia="宋体" w:cs="宋体"/>
          <w:sz w:val="28"/>
          <w:szCs w:val="28"/>
        </w:rPr>
        <w:t>（一）考核结果作为教师评选先进、晋职晋级、职称聘任等依据之一。</w:t>
      </w:r>
    </w:p>
    <w:p>
      <w:pPr>
        <w:ind w:firstLine="560" w:firstLineChars="200"/>
        <w:rPr>
          <w:rFonts w:ascii="宋体" w:hAnsi="宋体" w:eastAsia="宋体" w:cs="宋体"/>
          <w:sz w:val="28"/>
          <w:szCs w:val="28"/>
        </w:rPr>
      </w:pPr>
      <w:r>
        <w:rPr>
          <w:rFonts w:hint="eastAsia" w:ascii="宋体" w:hAnsi="宋体" w:eastAsia="宋体" w:cs="宋体"/>
          <w:sz w:val="28"/>
          <w:szCs w:val="28"/>
        </w:rPr>
        <w:t>（二）教学质量优秀奖原则上从教师教学质量考核结果优秀的教师中遴选。</w:t>
      </w:r>
    </w:p>
    <w:p>
      <w:pPr>
        <w:ind w:firstLine="560" w:firstLineChars="200"/>
        <w:rPr>
          <w:rFonts w:ascii="宋体" w:hAnsi="宋体" w:eastAsia="宋体" w:cs="宋体"/>
          <w:sz w:val="28"/>
          <w:szCs w:val="28"/>
        </w:rPr>
      </w:pPr>
      <w:r>
        <w:rPr>
          <w:rFonts w:hint="eastAsia" w:ascii="宋体" w:hAnsi="宋体" w:eastAsia="宋体" w:cs="宋体"/>
          <w:sz w:val="28"/>
          <w:szCs w:val="28"/>
        </w:rPr>
        <w:t>（三）教师教学质量考核结果不合格等次的教师，年度教职工考核直接认定为不合格等次，所在院（部）要督促教师限期整改，帮助其提高教学水平。整改结束后，学校将组织有关专家进行考核，经考核仍不合格者，将调离教师岗位。</w:t>
      </w:r>
    </w:p>
    <w:p>
      <w:pPr>
        <w:ind w:firstLine="560" w:firstLineChars="200"/>
        <w:rPr>
          <w:rFonts w:ascii="宋体" w:hAnsi="宋体" w:eastAsia="宋体" w:cs="宋体"/>
          <w:sz w:val="28"/>
          <w:szCs w:val="28"/>
          <w:highlight w:val="yellow"/>
        </w:rPr>
      </w:pPr>
      <w:r>
        <w:rPr>
          <w:rFonts w:hint="eastAsia" w:ascii="宋体" w:hAnsi="宋体" w:eastAsia="宋体" w:cs="宋体"/>
          <w:sz w:val="28"/>
          <w:szCs w:val="28"/>
        </w:rPr>
        <w:t>（四）教师教学质量考核结果合格等次的教师（管理及综合岗位人员除外），年度教职工考核不得评为优秀等次。</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八、其它</w:t>
      </w:r>
    </w:p>
    <w:p>
      <w:pPr>
        <w:ind w:firstLine="560" w:firstLineChars="200"/>
        <w:rPr>
          <w:rFonts w:ascii="宋体" w:hAnsi="宋体" w:eastAsia="宋体" w:cs="宋体"/>
          <w:sz w:val="28"/>
          <w:szCs w:val="28"/>
        </w:rPr>
      </w:pPr>
      <w:r>
        <w:rPr>
          <w:rFonts w:hint="eastAsia" w:ascii="宋体" w:hAnsi="宋体" w:eastAsia="宋体" w:cs="宋体"/>
          <w:sz w:val="28"/>
          <w:szCs w:val="28"/>
        </w:rPr>
        <w:t>（一）考核条件中教学工作量标准参照现行《蚌埠学院教学科研岗位绩效工资实施办法》认定。</w:t>
      </w:r>
    </w:p>
    <w:p>
      <w:pPr>
        <w:ind w:firstLine="570"/>
        <w:rPr>
          <w:rFonts w:ascii="宋体" w:hAnsi="宋体" w:eastAsia="宋体" w:cs="宋体"/>
          <w:sz w:val="28"/>
          <w:szCs w:val="28"/>
        </w:rPr>
      </w:pPr>
      <w:r>
        <w:rPr>
          <w:rFonts w:hint="eastAsia" w:ascii="宋体" w:hAnsi="宋体" w:eastAsia="宋体" w:cs="宋体"/>
          <w:sz w:val="28"/>
          <w:szCs w:val="28"/>
        </w:rPr>
        <w:t>（二）本办法</w:t>
      </w:r>
      <w:r>
        <w:rPr>
          <w:rFonts w:ascii="宋体" w:hAnsi="宋体" w:eastAsia="宋体" w:cs="宋体"/>
          <w:sz w:val="28"/>
          <w:szCs w:val="28"/>
        </w:rPr>
        <w:t>自</w:t>
      </w:r>
      <w:r>
        <w:rPr>
          <w:rFonts w:hint="eastAsia" w:ascii="宋体" w:hAnsi="宋体" w:eastAsia="宋体" w:cs="宋体"/>
          <w:sz w:val="28"/>
          <w:szCs w:val="28"/>
        </w:rPr>
        <w:t>颁发之日起</w:t>
      </w:r>
      <w:r>
        <w:rPr>
          <w:rFonts w:ascii="宋体" w:hAnsi="宋体" w:eastAsia="宋体" w:cs="宋体"/>
          <w:sz w:val="28"/>
          <w:szCs w:val="28"/>
        </w:rPr>
        <w:t>施行</w:t>
      </w:r>
      <w:r>
        <w:rPr>
          <w:rFonts w:hint="eastAsia" w:ascii="宋体" w:hAnsi="宋体" w:eastAsia="宋体" w:cs="宋体"/>
          <w:sz w:val="28"/>
          <w:szCs w:val="28"/>
        </w:rPr>
        <w:t>，</w:t>
      </w:r>
      <w:r>
        <w:rPr>
          <w:rFonts w:ascii="宋体" w:hAnsi="宋体" w:eastAsia="宋体" w:cs="宋体"/>
          <w:sz w:val="28"/>
          <w:szCs w:val="28"/>
        </w:rPr>
        <w:t>原《</w:t>
      </w:r>
      <w:r>
        <w:rPr>
          <w:rFonts w:hint="eastAsia" w:ascii="宋体" w:hAnsi="宋体" w:eastAsia="宋体" w:cs="宋体"/>
          <w:sz w:val="28"/>
          <w:szCs w:val="28"/>
        </w:rPr>
        <w:t>蚌埠学院教师教学工作考核暂行办法</w:t>
      </w:r>
      <w:r>
        <w:rPr>
          <w:rFonts w:ascii="宋体" w:hAnsi="宋体" w:eastAsia="宋体" w:cs="宋体"/>
          <w:sz w:val="28"/>
          <w:szCs w:val="28"/>
        </w:rPr>
        <w:t>》</w:t>
      </w:r>
      <w:r>
        <w:rPr>
          <w:rFonts w:hint="eastAsia" w:ascii="宋体" w:hAnsi="宋体" w:eastAsia="宋体" w:cs="宋体"/>
          <w:sz w:val="28"/>
          <w:szCs w:val="28"/>
        </w:rPr>
        <w:t>（院字〔2010〕109号）</w:t>
      </w:r>
      <w:r>
        <w:rPr>
          <w:rFonts w:ascii="宋体" w:hAnsi="宋体" w:eastAsia="宋体" w:cs="宋体"/>
          <w:sz w:val="28"/>
          <w:szCs w:val="28"/>
        </w:rPr>
        <w:t>文件同时废止。</w:t>
      </w:r>
    </w:p>
    <w:p>
      <w:pPr>
        <w:ind w:firstLine="570"/>
        <w:rPr>
          <w:rFonts w:ascii="宋体" w:hAnsi="宋体" w:eastAsia="宋体" w:cs="宋体"/>
          <w:sz w:val="28"/>
          <w:szCs w:val="28"/>
        </w:rPr>
      </w:pPr>
      <w:r>
        <w:rPr>
          <w:rFonts w:hint="eastAsia" w:ascii="宋体" w:hAnsi="宋体" w:eastAsia="宋体" w:cs="宋体"/>
          <w:sz w:val="28"/>
          <w:szCs w:val="28"/>
        </w:rPr>
        <w:t>（三）</w:t>
      </w:r>
      <w:r>
        <w:rPr>
          <w:rFonts w:ascii="宋体" w:hAnsi="宋体" w:eastAsia="宋体" w:cs="宋体"/>
          <w:sz w:val="28"/>
          <w:szCs w:val="28"/>
        </w:rPr>
        <w:t>本办法由</w:t>
      </w:r>
      <w:r>
        <w:rPr>
          <w:rFonts w:hint="eastAsia" w:ascii="宋体" w:hAnsi="宋体" w:eastAsia="宋体" w:cs="宋体"/>
          <w:sz w:val="28"/>
          <w:szCs w:val="28"/>
        </w:rPr>
        <w:t>教学质量监控办公室</w:t>
      </w:r>
      <w:r>
        <w:rPr>
          <w:rFonts w:ascii="宋体" w:hAnsi="宋体" w:eastAsia="宋体" w:cs="宋体"/>
          <w:sz w:val="28"/>
          <w:szCs w:val="28"/>
        </w:rPr>
        <w:t>负责解释</w:t>
      </w:r>
      <w:r>
        <w:rPr>
          <w:rFonts w:hint="eastAsia" w:ascii="宋体" w:hAnsi="宋体" w:eastAsia="宋体" w:cs="宋体"/>
          <w:sz w:val="28"/>
          <w:szCs w:val="28"/>
        </w:rPr>
        <w:t>。</w:t>
      </w:r>
    </w:p>
    <w:p>
      <w:pPr>
        <w:ind w:firstLine="570"/>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附件：《蚌埠学院教师教学</w:t>
      </w:r>
      <w:r>
        <w:rPr>
          <w:rFonts w:hint="eastAsia" w:ascii="宋体" w:hAnsi="宋体" w:eastAsia="宋体" w:cs="宋体"/>
          <w:sz w:val="28"/>
          <w:szCs w:val="28"/>
          <w:lang w:val="en-US" w:eastAsia="zh-CN"/>
        </w:rPr>
        <w:t>质量考核</w:t>
      </w:r>
      <w:bookmarkStart w:id="0" w:name="_GoBack"/>
      <w:bookmarkEnd w:id="0"/>
      <w:r>
        <w:rPr>
          <w:rFonts w:hint="eastAsia" w:ascii="宋体" w:hAnsi="宋体" w:eastAsia="宋体" w:cs="宋体"/>
          <w:sz w:val="28"/>
          <w:szCs w:val="28"/>
        </w:rPr>
        <w:t>评价成绩表》</w:t>
      </w:r>
    </w:p>
    <w:p>
      <w:pPr>
        <w:ind w:firstLine="560" w:firstLineChars="200"/>
        <w:rPr>
          <w:rFonts w:ascii="宋体" w:hAnsi="宋体" w:eastAsia="宋体" w:cs="宋体"/>
          <w:sz w:val="28"/>
          <w:szCs w:val="28"/>
        </w:rPr>
      </w:pPr>
    </w:p>
    <w:p>
      <w:pPr>
        <w:ind w:firstLine="480" w:firstLineChars="200"/>
        <w:rPr>
          <w:rFonts w:ascii="宋体" w:hAnsi="宋体" w:eastAsia="宋体" w:cs="宋体"/>
          <w:color w:val="444444"/>
          <w:sz w:val="24"/>
        </w:rPr>
      </w:pPr>
    </w:p>
    <w:p>
      <w:pPr>
        <w:rPr>
          <w:rFonts w:ascii="宋体" w:hAnsi="宋体" w:eastAsia="宋体" w:cs="宋体"/>
          <w:color w:val="444444"/>
          <w:sz w:val="24"/>
        </w:rPr>
      </w:pPr>
    </w:p>
    <w:p>
      <w:pPr>
        <w:ind w:firstLine="480" w:firstLineChars="200"/>
        <w:rPr>
          <w:rFonts w:ascii="宋体" w:hAnsi="宋体" w:eastAsia="宋体" w:cs="宋体"/>
          <w:color w:val="444444"/>
          <w:sz w:val="24"/>
        </w:rPr>
      </w:pPr>
    </w:p>
    <w:p>
      <w:pPr>
        <w:ind w:firstLine="480" w:firstLineChars="200"/>
        <w:rPr>
          <w:rFonts w:ascii="宋体" w:hAnsi="宋体" w:eastAsia="宋体" w:cs="宋体"/>
          <w:color w:val="444444"/>
          <w:sz w:val="24"/>
        </w:rPr>
      </w:pPr>
    </w:p>
    <w:p>
      <w:pPr>
        <w:ind w:firstLine="480" w:firstLineChars="200"/>
        <w:rPr>
          <w:rFonts w:ascii="宋体" w:hAnsi="宋体" w:eastAsia="宋体" w:cs="宋体"/>
          <w:color w:val="444444"/>
          <w:sz w:val="24"/>
        </w:rPr>
      </w:pPr>
    </w:p>
    <w:p>
      <w:pPr>
        <w:ind w:firstLine="480" w:firstLineChars="200"/>
        <w:rPr>
          <w:rFonts w:ascii="宋体" w:hAnsi="宋体" w:eastAsia="宋体" w:cs="宋体"/>
          <w:color w:val="444444"/>
          <w:sz w:val="24"/>
        </w:rPr>
      </w:pPr>
    </w:p>
    <w:p>
      <w:pPr>
        <w:ind w:firstLine="480" w:firstLineChars="200"/>
        <w:rPr>
          <w:rFonts w:ascii="宋体" w:hAnsi="宋体" w:eastAsia="宋体" w:cs="宋体"/>
          <w:color w:val="444444"/>
          <w:sz w:val="24"/>
        </w:rPr>
      </w:pPr>
    </w:p>
    <w:p>
      <w:pPr>
        <w:spacing w:line="40" w:lineRule="atLeast"/>
        <w:jc w:val="left"/>
        <w:rPr>
          <w:rFonts w:ascii="宋体" w:hAnsi="宋体"/>
          <w:bCs/>
          <w:szCs w:val="21"/>
        </w:rPr>
      </w:pPr>
      <w:r>
        <w:rPr>
          <w:rFonts w:hint="eastAsia" w:ascii="宋体" w:hAnsi="宋体"/>
          <w:bCs/>
          <w:szCs w:val="21"/>
        </w:rPr>
        <w:t>附件：</w:t>
      </w:r>
    </w:p>
    <w:p>
      <w:pPr>
        <w:spacing w:line="400" w:lineRule="exact"/>
        <w:jc w:val="center"/>
        <w:rPr>
          <w:rFonts w:ascii="宋体" w:hAnsi="宋体"/>
          <w:b/>
          <w:sz w:val="32"/>
          <w:szCs w:val="32"/>
        </w:rPr>
      </w:pPr>
      <w:r>
        <w:rPr>
          <w:rFonts w:hint="eastAsia" w:ascii="宋体" w:hAnsi="宋体"/>
          <w:b/>
          <w:sz w:val="32"/>
          <w:szCs w:val="32"/>
        </w:rPr>
        <w:t>蚌埠学院教师教学</w:t>
      </w:r>
      <w:r>
        <w:rPr>
          <w:rFonts w:hint="eastAsia" w:ascii="宋体" w:hAnsi="宋体"/>
          <w:b/>
          <w:sz w:val="32"/>
          <w:szCs w:val="32"/>
          <w:lang w:val="en-US" w:eastAsia="zh-CN"/>
        </w:rPr>
        <w:t>质量考核</w:t>
      </w:r>
      <w:r>
        <w:rPr>
          <w:rFonts w:hint="eastAsia" w:ascii="宋体" w:hAnsi="宋体"/>
          <w:b/>
          <w:sz w:val="32"/>
          <w:szCs w:val="32"/>
        </w:rPr>
        <w:t>评价成绩表</w:t>
      </w:r>
    </w:p>
    <w:p>
      <w:pPr>
        <w:rPr>
          <w:rFonts w:ascii="仿宋_GB2312" w:hAnsi="仿宋" w:eastAsia="仿宋_GB2312"/>
          <w:sz w:val="28"/>
          <w:szCs w:val="28"/>
        </w:rPr>
      </w:pPr>
    </w:p>
    <w:p>
      <w:pPr>
        <w:rPr>
          <w:rFonts w:asciiTheme="majorEastAsia" w:hAnsiTheme="majorEastAsia" w:eastAsiaTheme="majorEastAsia"/>
          <w:sz w:val="28"/>
          <w:szCs w:val="28"/>
        </w:rPr>
      </w:pPr>
      <w:r>
        <w:rPr>
          <w:rFonts w:hint="eastAsia" w:asciiTheme="majorEastAsia" w:hAnsiTheme="majorEastAsia" w:eastAsiaTheme="majorEastAsia"/>
          <w:sz w:val="28"/>
          <w:szCs w:val="28"/>
        </w:rPr>
        <w:t>教学部门盖章：           教师姓名：        学年：</w:t>
      </w:r>
    </w:p>
    <w:tbl>
      <w:tblPr>
        <w:tblStyle w:val="5"/>
        <w:tblW w:w="9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7311"/>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6" w:type="dxa"/>
            <w:gridSpan w:val="2"/>
            <w:vAlign w:val="center"/>
          </w:tcPr>
          <w:p>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得  分  项  目</w:t>
            </w:r>
          </w:p>
        </w:tc>
        <w:tc>
          <w:tcPr>
            <w:tcW w:w="896" w:type="dxa"/>
            <w:vAlign w:val="center"/>
          </w:tcPr>
          <w:p>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25" w:type="dxa"/>
            <w:vMerge w:val="restart"/>
          </w:tcPr>
          <w:p>
            <w:pPr>
              <w:spacing w:line="400" w:lineRule="exact"/>
              <w:jc w:val="left"/>
              <w:rPr>
                <w:rFonts w:asciiTheme="majorEastAsia" w:hAnsiTheme="majorEastAsia" w:eastAsiaTheme="majorEastAsia"/>
                <w:sz w:val="24"/>
              </w:rPr>
            </w:pPr>
            <w:r>
              <w:rPr>
                <w:rFonts w:hint="eastAsia" w:asciiTheme="majorEastAsia" w:hAnsiTheme="majorEastAsia" w:eastAsiaTheme="majorEastAsia"/>
                <w:sz w:val="24"/>
              </w:rPr>
              <w:t>学生</w:t>
            </w:r>
          </w:p>
          <w:p>
            <w:pPr>
              <w:spacing w:line="400" w:lineRule="exact"/>
              <w:jc w:val="left"/>
              <w:rPr>
                <w:rFonts w:asciiTheme="majorEastAsia" w:hAnsiTheme="majorEastAsia" w:eastAsiaTheme="majorEastAsia"/>
                <w:sz w:val="24"/>
              </w:rPr>
            </w:pPr>
            <w:r>
              <w:rPr>
                <w:rFonts w:hint="eastAsia" w:asciiTheme="majorEastAsia" w:hAnsiTheme="majorEastAsia" w:eastAsiaTheme="majorEastAsia"/>
                <w:sz w:val="24"/>
              </w:rPr>
              <w:t>评价分</w:t>
            </w:r>
          </w:p>
        </w:tc>
        <w:tc>
          <w:tcPr>
            <w:tcW w:w="7311" w:type="dxa"/>
          </w:tcPr>
          <w:p>
            <w:pPr>
              <w:spacing w:line="360" w:lineRule="exact"/>
              <w:rPr>
                <w:rFonts w:asciiTheme="majorEastAsia" w:hAnsiTheme="majorEastAsia" w:eastAsiaTheme="majorEastAsia"/>
                <w:sz w:val="24"/>
              </w:rPr>
            </w:pPr>
            <w:r>
              <w:rPr>
                <w:rFonts w:hint="eastAsia" w:asciiTheme="majorEastAsia" w:hAnsiTheme="majorEastAsia" w:eastAsiaTheme="majorEastAsia"/>
                <w:sz w:val="24"/>
              </w:rPr>
              <w:t>教学评价分×40%</w:t>
            </w:r>
          </w:p>
        </w:tc>
        <w:tc>
          <w:tcPr>
            <w:tcW w:w="896" w:type="dxa"/>
          </w:tcPr>
          <w:p>
            <w:pPr>
              <w:spacing w:line="40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25" w:type="dxa"/>
            <w:vMerge w:val="continue"/>
          </w:tcPr>
          <w:p>
            <w:pPr>
              <w:spacing w:line="400" w:lineRule="exact"/>
              <w:rPr>
                <w:rFonts w:asciiTheme="majorEastAsia" w:hAnsiTheme="majorEastAsia" w:eastAsiaTheme="majorEastAsia"/>
                <w:sz w:val="24"/>
              </w:rPr>
            </w:pPr>
          </w:p>
        </w:tc>
        <w:tc>
          <w:tcPr>
            <w:tcW w:w="7311" w:type="dxa"/>
          </w:tcPr>
          <w:p>
            <w:pPr>
              <w:spacing w:line="360" w:lineRule="exact"/>
              <w:rPr>
                <w:rFonts w:asciiTheme="majorEastAsia" w:hAnsiTheme="majorEastAsia" w:eastAsiaTheme="majorEastAsia"/>
                <w:sz w:val="24"/>
              </w:rPr>
            </w:pPr>
            <w:r>
              <w:rPr>
                <w:rFonts w:hint="eastAsia" w:asciiTheme="majorEastAsia" w:hAnsiTheme="majorEastAsia" w:eastAsiaTheme="majorEastAsia"/>
                <w:sz w:val="24"/>
              </w:rPr>
              <w:t>指导学生评价分×10%</w:t>
            </w:r>
          </w:p>
        </w:tc>
        <w:tc>
          <w:tcPr>
            <w:tcW w:w="896" w:type="dxa"/>
          </w:tcPr>
          <w:p>
            <w:pPr>
              <w:spacing w:line="40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536" w:type="dxa"/>
            <w:gridSpan w:val="2"/>
          </w:tcPr>
          <w:p>
            <w:pPr>
              <w:spacing w:line="400" w:lineRule="exact"/>
              <w:rPr>
                <w:rFonts w:asciiTheme="majorEastAsia" w:hAnsiTheme="majorEastAsia" w:eastAsiaTheme="majorEastAsia"/>
                <w:sz w:val="24"/>
              </w:rPr>
            </w:pPr>
            <w:r>
              <w:rPr>
                <w:rFonts w:hint="eastAsia" w:asciiTheme="majorEastAsia" w:hAnsiTheme="majorEastAsia" w:eastAsiaTheme="majorEastAsia"/>
                <w:sz w:val="24"/>
              </w:rPr>
              <w:t>教研室同行评价分×30%</w:t>
            </w:r>
          </w:p>
        </w:tc>
        <w:tc>
          <w:tcPr>
            <w:tcW w:w="896" w:type="dxa"/>
          </w:tcPr>
          <w:p>
            <w:pPr>
              <w:spacing w:line="40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536" w:type="dxa"/>
            <w:gridSpan w:val="2"/>
          </w:tcPr>
          <w:p>
            <w:pPr>
              <w:spacing w:line="400" w:lineRule="exact"/>
              <w:rPr>
                <w:rFonts w:asciiTheme="majorEastAsia" w:hAnsiTheme="majorEastAsia" w:eastAsiaTheme="majorEastAsia"/>
                <w:b/>
                <w:bCs/>
                <w:sz w:val="24"/>
              </w:rPr>
            </w:pPr>
            <w:r>
              <w:rPr>
                <w:rFonts w:hint="eastAsia" w:asciiTheme="majorEastAsia" w:hAnsiTheme="majorEastAsia" w:eastAsiaTheme="majorEastAsia"/>
                <w:sz w:val="24"/>
              </w:rPr>
              <w:t>院(部)领导、教学单位质量监控小组评价分×20%</w:t>
            </w:r>
          </w:p>
        </w:tc>
        <w:tc>
          <w:tcPr>
            <w:tcW w:w="896" w:type="dxa"/>
          </w:tcPr>
          <w:p>
            <w:pPr>
              <w:spacing w:line="40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36" w:type="dxa"/>
            <w:gridSpan w:val="2"/>
          </w:tcPr>
          <w:p>
            <w:pPr>
              <w:spacing w:line="400" w:lineRule="exact"/>
              <w:ind w:firstLine="2640" w:firstLineChars="1100"/>
              <w:rPr>
                <w:rFonts w:asciiTheme="majorEastAsia" w:hAnsiTheme="majorEastAsia" w:eastAsiaTheme="majorEastAsia"/>
                <w:sz w:val="24"/>
              </w:rPr>
            </w:pPr>
            <w:r>
              <w:rPr>
                <w:rFonts w:hint="eastAsia" w:asciiTheme="majorEastAsia" w:hAnsiTheme="majorEastAsia" w:eastAsiaTheme="majorEastAsia"/>
                <w:sz w:val="24"/>
              </w:rPr>
              <w:t>加  分  项  目</w:t>
            </w:r>
          </w:p>
        </w:tc>
        <w:tc>
          <w:tcPr>
            <w:tcW w:w="896" w:type="dxa"/>
          </w:tcPr>
          <w:p>
            <w:pPr>
              <w:spacing w:line="400" w:lineRule="exact"/>
              <w:rPr>
                <w:rFonts w:asciiTheme="majorEastAsia" w:hAnsiTheme="majorEastAsia" w:eastAsiaTheme="majorEastAsia"/>
                <w:sz w:val="24"/>
              </w:rPr>
            </w:pPr>
            <w:r>
              <w:rPr>
                <w:rFonts w:hint="eastAsia" w:asciiTheme="majorEastAsia" w:hAnsiTheme="majorEastAsia" w:eastAsiaTheme="majorEastAsia"/>
                <w:sz w:val="24"/>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225" w:type="dxa"/>
          </w:tcPr>
          <w:p>
            <w:pPr>
              <w:spacing w:line="400" w:lineRule="exact"/>
              <w:rPr>
                <w:rFonts w:asciiTheme="majorEastAsia" w:hAnsiTheme="majorEastAsia" w:eastAsiaTheme="majorEastAsia"/>
                <w:sz w:val="24"/>
              </w:rPr>
            </w:pPr>
            <w:r>
              <w:rPr>
                <w:rFonts w:hint="eastAsia" w:asciiTheme="majorEastAsia" w:hAnsiTheme="majorEastAsia" w:eastAsiaTheme="majorEastAsia"/>
                <w:sz w:val="24"/>
              </w:rPr>
              <w:t>教育教学</w:t>
            </w:r>
          </w:p>
          <w:p>
            <w:pPr>
              <w:spacing w:line="400" w:lineRule="exact"/>
              <w:rPr>
                <w:rFonts w:asciiTheme="majorEastAsia" w:hAnsiTheme="majorEastAsia" w:eastAsiaTheme="majorEastAsia"/>
                <w:sz w:val="24"/>
              </w:rPr>
            </w:pPr>
            <w:r>
              <w:rPr>
                <w:rFonts w:hint="eastAsia" w:asciiTheme="majorEastAsia" w:hAnsiTheme="majorEastAsia" w:eastAsiaTheme="majorEastAsia"/>
                <w:sz w:val="24"/>
              </w:rPr>
              <w:t>研究论文</w:t>
            </w:r>
          </w:p>
        </w:tc>
        <w:tc>
          <w:tcPr>
            <w:tcW w:w="7311" w:type="dxa"/>
          </w:tcPr>
          <w:p>
            <w:pPr>
              <w:spacing w:line="720" w:lineRule="auto"/>
              <w:rPr>
                <w:rFonts w:asciiTheme="majorEastAsia" w:hAnsiTheme="majorEastAsia" w:eastAsiaTheme="majorEastAsia"/>
                <w:sz w:val="24"/>
              </w:rPr>
            </w:pPr>
            <w:r>
              <w:rPr>
                <w:rFonts w:hint="eastAsia" w:asciiTheme="majorEastAsia" w:hAnsiTheme="majorEastAsia" w:eastAsiaTheme="majorEastAsia"/>
                <w:sz w:val="24"/>
              </w:rPr>
              <w:t>一类、二类、三类、四类每篇分别加6分、4分、1.5分、0.5分</w:t>
            </w:r>
          </w:p>
        </w:tc>
        <w:tc>
          <w:tcPr>
            <w:tcW w:w="896" w:type="dxa"/>
          </w:tcPr>
          <w:p>
            <w:pPr>
              <w:spacing w:line="40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225" w:type="dxa"/>
          </w:tcPr>
          <w:p>
            <w:pPr>
              <w:spacing w:line="400" w:lineRule="exact"/>
              <w:rPr>
                <w:rFonts w:asciiTheme="majorEastAsia" w:hAnsiTheme="majorEastAsia" w:eastAsiaTheme="majorEastAsia"/>
                <w:sz w:val="24"/>
              </w:rPr>
            </w:pPr>
            <w:r>
              <w:rPr>
                <w:rFonts w:hint="eastAsia" w:asciiTheme="majorEastAsia" w:hAnsiTheme="majorEastAsia" w:eastAsiaTheme="majorEastAsia"/>
                <w:sz w:val="24"/>
              </w:rPr>
              <w:t>教育教学论著</w:t>
            </w:r>
          </w:p>
        </w:tc>
        <w:tc>
          <w:tcPr>
            <w:tcW w:w="7311" w:type="dxa"/>
          </w:tcPr>
          <w:p>
            <w:pPr>
              <w:spacing w:line="600" w:lineRule="auto"/>
              <w:rPr>
                <w:rFonts w:asciiTheme="majorEastAsia" w:hAnsiTheme="majorEastAsia" w:eastAsiaTheme="majorEastAsia"/>
                <w:sz w:val="24"/>
              </w:rPr>
            </w:pPr>
            <w:r>
              <w:rPr>
                <w:rFonts w:hint="eastAsia" w:asciiTheme="majorEastAsia" w:hAnsiTheme="majorEastAsia" w:eastAsiaTheme="majorEastAsia"/>
                <w:sz w:val="24"/>
              </w:rPr>
              <w:t>每部加4分</w:t>
            </w:r>
          </w:p>
        </w:tc>
        <w:tc>
          <w:tcPr>
            <w:tcW w:w="896" w:type="dxa"/>
          </w:tcPr>
          <w:p>
            <w:pPr>
              <w:spacing w:line="40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Align w:val="center"/>
          </w:tcPr>
          <w:p>
            <w:pPr>
              <w:spacing w:line="400" w:lineRule="exact"/>
              <w:jc w:val="center"/>
              <w:rPr>
                <w:rFonts w:asciiTheme="majorEastAsia" w:hAnsiTheme="majorEastAsia" w:eastAsiaTheme="majorEastAsia"/>
                <w:sz w:val="24"/>
              </w:rPr>
            </w:pPr>
            <w:r>
              <w:rPr>
                <w:rFonts w:hint="eastAsia" w:asciiTheme="majorEastAsia" w:hAnsiTheme="majorEastAsia" w:eastAsiaTheme="majorEastAsia"/>
                <w:sz w:val="24"/>
              </w:rPr>
              <w:t>教育教学研究项目</w:t>
            </w:r>
          </w:p>
        </w:tc>
        <w:tc>
          <w:tcPr>
            <w:tcW w:w="7311" w:type="dxa"/>
          </w:tcPr>
          <w:p>
            <w:pPr>
              <w:spacing w:line="600" w:lineRule="auto"/>
              <w:rPr>
                <w:rFonts w:asciiTheme="majorEastAsia" w:hAnsiTheme="majorEastAsia" w:eastAsiaTheme="majorEastAsia"/>
                <w:sz w:val="24"/>
              </w:rPr>
            </w:pPr>
            <w:r>
              <w:rPr>
                <w:rFonts w:hint="eastAsia" w:asciiTheme="majorEastAsia" w:hAnsiTheme="majorEastAsia" w:eastAsiaTheme="majorEastAsia"/>
                <w:sz w:val="24"/>
              </w:rPr>
              <w:t>一类、二类、三类、校级一般每项分别加6分、3分、1分、0</w:t>
            </w:r>
            <w:r>
              <w:rPr>
                <w:rFonts w:hint="eastAsia" w:asciiTheme="majorEastAsia" w:hAnsiTheme="majorEastAsia" w:eastAsiaTheme="majorEastAsia"/>
                <w:sz w:val="24"/>
                <w:lang w:val="en-US" w:eastAsia="zh-CN"/>
              </w:rPr>
              <w:t>.</w:t>
            </w:r>
            <w:r>
              <w:rPr>
                <w:rFonts w:hint="eastAsia" w:asciiTheme="majorEastAsia" w:hAnsiTheme="majorEastAsia" w:eastAsiaTheme="majorEastAsia"/>
                <w:sz w:val="24"/>
              </w:rPr>
              <w:t>5分</w:t>
            </w:r>
          </w:p>
        </w:tc>
        <w:tc>
          <w:tcPr>
            <w:tcW w:w="896" w:type="dxa"/>
          </w:tcPr>
          <w:p>
            <w:pPr>
              <w:spacing w:line="40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25" w:type="dxa"/>
            <w:vAlign w:val="center"/>
          </w:tcPr>
          <w:p>
            <w:pPr>
              <w:spacing w:line="400" w:lineRule="exact"/>
              <w:jc w:val="center"/>
              <w:rPr>
                <w:rFonts w:asciiTheme="majorEastAsia" w:hAnsiTheme="majorEastAsia" w:eastAsiaTheme="majorEastAsia"/>
                <w:sz w:val="24"/>
              </w:rPr>
            </w:pPr>
            <w:r>
              <w:rPr>
                <w:rFonts w:hint="eastAsia" w:asciiTheme="majorEastAsia" w:hAnsiTheme="majorEastAsia" w:eastAsiaTheme="majorEastAsia"/>
                <w:sz w:val="24"/>
              </w:rPr>
              <w:t>教学名师</w:t>
            </w:r>
          </w:p>
        </w:tc>
        <w:tc>
          <w:tcPr>
            <w:tcW w:w="7311" w:type="dxa"/>
          </w:tcPr>
          <w:p>
            <w:pPr>
              <w:spacing w:line="400" w:lineRule="exact"/>
              <w:rPr>
                <w:rFonts w:asciiTheme="majorEastAsia" w:hAnsiTheme="majorEastAsia" w:eastAsiaTheme="majorEastAsia"/>
                <w:sz w:val="24"/>
              </w:rPr>
            </w:pPr>
            <w:r>
              <w:rPr>
                <w:rFonts w:hint="eastAsia" w:asciiTheme="majorEastAsia" w:hAnsiTheme="majorEastAsia" w:eastAsiaTheme="majorEastAsia"/>
                <w:sz w:val="24"/>
              </w:rPr>
              <w:t>国家级、省级、校级教学名师每项分别加6分、3分、1分</w:t>
            </w:r>
          </w:p>
        </w:tc>
        <w:tc>
          <w:tcPr>
            <w:tcW w:w="896" w:type="dxa"/>
          </w:tcPr>
          <w:p>
            <w:pPr>
              <w:spacing w:line="40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25" w:type="dxa"/>
            <w:vAlign w:val="center"/>
          </w:tcPr>
          <w:p>
            <w:pPr>
              <w:spacing w:line="400" w:lineRule="exact"/>
              <w:jc w:val="center"/>
              <w:rPr>
                <w:rFonts w:asciiTheme="majorEastAsia" w:hAnsiTheme="majorEastAsia" w:eastAsiaTheme="majorEastAsia"/>
                <w:sz w:val="24"/>
              </w:rPr>
            </w:pPr>
            <w:r>
              <w:rPr>
                <w:rFonts w:hint="eastAsia" w:asciiTheme="majorEastAsia" w:hAnsiTheme="majorEastAsia" w:eastAsiaTheme="majorEastAsia"/>
                <w:sz w:val="24"/>
              </w:rPr>
              <w:t>教坛新秀</w:t>
            </w:r>
          </w:p>
        </w:tc>
        <w:tc>
          <w:tcPr>
            <w:tcW w:w="7311" w:type="dxa"/>
          </w:tcPr>
          <w:p>
            <w:pPr>
              <w:spacing w:line="400" w:lineRule="exact"/>
              <w:rPr>
                <w:rFonts w:asciiTheme="majorEastAsia" w:hAnsiTheme="majorEastAsia" w:eastAsiaTheme="majorEastAsia"/>
                <w:color w:val="FF0000"/>
                <w:sz w:val="24"/>
              </w:rPr>
            </w:pPr>
            <w:r>
              <w:rPr>
                <w:rFonts w:hint="eastAsia" w:asciiTheme="majorEastAsia" w:hAnsiTheme="majorEastAsia" w:eastAsiaTheme="majorEastAsia"/>
                <w:color w:val="000000"/>
                <w:sz w:val="24"/>
              </w:rPr>
              <w:t>国家级、省级、校级教坛新秀每项分别加5分、2分、0.5分</w:t>
            </w:r>
          </w:p>
        </w:tc>
        <w:tc>
          <w:tcPr>
            <w:tcW w:w="896" w:type="dxa"/>
          </w:tcPr>
          <w:p>
            <w:pPr>
              <w:spacing w:line="40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225" w:type="dxa"/>
            <w:vAlign w:val="center"/>
          </w:tcPr>
          <w:p>
            <w:pPr>
              <w:spacing w:line="400" w:lineRule="exact"/>
              <w:jc w:val="center"/>
              <w:rPr>
                <w:rFonts w:asciiTheme="majorEastAsia" w:hAnsiTheme="majorEastAsia" w:eastAsiaTheme="majorEastAsia"/>
                <w:sz w:val="24"/>
              </w:rPr>
            </w:pPr>
            <w:r>
              <w:rPr>
                <w:rFonts w:hint="eastAsia" w:asciiTheme="majorEastAsia" w:hAnsiTheme="majorEastAsia" w:eastAsiaTheme="majorEastAsia"/>
                <w:sz w:val="24"/>
              </w:rPr>
              <w:t>教学成果奖</w:t>
            </w:r>
          </w:p>
        </w:tc>
        <w:tc>
          <w:tcPr>
            <w:tcW w:w="7311" w:type="dxa"/>
          </w:tcPr>
          <w:p>
            <w:pPr>
              <w:spacing w:line="400" w:lineRule="exact"/>
              <w:rPr>
                <w:rFonts w:asciiTheme="majorEastAsia" w:hAnsiTheme="majorEastAsia" w:eastAsiaTheme="majorEastAsia"/>
                <w:sz w:val="24"/>
              </w:rPr>
            </w:pPr>
            <w:r>
              <w:rPr>
                <w:rFonts w:hint="eastAsia" w:asciiTheme="majorEastAsia" w:hAnsiTheme="majorEastAsia" w:eastAsiaTheme="majorEastAsia"/>
                <w:sz w:val="24"/>
              </w:rPr>
              <w:t>一类（国家级）：特等奖、一等奖、二等奖每项分别加6分、5分、4分</w:t>
            </w:r>
          </w:p>
          <w:p>
            <w:pPr>
              <w:spacing w:line="400" w:lineRule="exact"/>
              <w:rPr>
                <w:rFonts w:asciiTheme="majorEastAsia" w:hAnsiTheme="majorEastAsia" w:eastAsiaTheme="majorEastAsia"/>
                <w:sz w:val="24"/>
              </w:rPr>
            </w:pPr>
            <w:r>
              <w:rPr>
                <w:rFonts w:hint="eastAsia" w:asciiTheme="majorEastAsia" w:hAnsiTheme="majorEastAsia" w:eastAsiaTheme="majorEastAsia"/>
                <w:sz w:val="24"/>
              </w:rPr>
              <w:t>二类（省级）：特等奖、一等奖、二等奖、三等奖每项分别加4分、3.5分、2分、1.5分</w:t>
            </w:r>
          </w:p>
          <w:p>
            <w:pPr>
              <w:spacing w:line="400" w:lineRule="exact"/>
              <w:rPr>
                <w:rFonts w:asciiTheme="majorEastAsia" w:hAnsiTheme="majorEastAsia" w:eastAsiaTheme="majorEastAsia"/>
                <w:sz w:val="24"/>
              </w:rPr>
            </w:pPr>
            <w:r>
              <w:rPr>
                <w:rFonts w:hint="eastAsia" w:asciiTheme="majorEastAsia" w:hAnsiTheme="majorEastAsia" w:eastAsiaTheme="majorEastAsia"/>
                <w:sz w:val="24"/>
              </w:rPr>
              <w:t>三类（校级）：特等奖、一等奖、二等奖、三等奖每项分别加2分、1.5分、1分、0.5分</w:t>
            </w:r>
          </w:p>
        </w:tc>
        <w:tc>
          <w:tcPr>
            <w:tcW w:w="896" w:type="dxa"/>
          </w:tcPr>
          <w:p>
            <w:pPr>
              <w:spacing w:line="40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25" w:type="dxa"/>
            <w:vAlign w:val="center"/>
          </w:tcPr>
          <w:p>
            <w:pPr>
              <w:pStyle w:val="4"/>
              <w:widowControl/>
              <w:tabs>
                <w:tab w:val="left" w:pos="900"/>
              </w:tabs>
              <w:adjustRightInd w:val="0"/>
              <w:spacing w:beforeAutospacing="0" w:afterAutospacing="0" w:line="0" w:lineRule="atLeast"/>
              <w:jc w:val="center"/>
              <w:rPr>
                <w:rFonts w:asciiTheme="majorEastAsia" w:hAnsiTheme="majorEastAsia" w:eastAsiaTheme="majorEastAsia"/>
              </w:rPr>
            </w:pPr>
            <w:r>
              <w:rPr>
                <w:rFonts w:hint="eastAsia" w:asciiTheme="majorEastAsia" w:hAnsiTheme="majorEastAsia" w:eastAsiaTheme="majorEastAsia"/>
              </w:rPr>
              <w:t>教学竞赛</w:t>
            </w:r>
          </w:p>
        </w:tc>
        <w:tc>
          <w:tcPr>
            <w:tcW w:w="7311" w:type="dxa"/>
          </w:tcPr>
          <w:p>
            <w:pPr>
              <w:spacing w:line="400" w:lineRule="exact"/>
              <w:rPr>
                <w:rFonts w:asciiTheme="majorEastAsia" w:hAnsiTheme="majorEastAsia" w:eastAsiaTheme="majorEastAsia"/>
                <w:sz w:val="24"/>
              </w:rPr>
            </w:pPr>
            <w:r>
              <w:rPr>
                <w:rFonts w:hint="eastAsia" w:asciiTheme="majorEastAsia" w:hAnsiTheme="majorEastAsia" w:eastAsiaTheme="majorEastAsia"/>
                <w:sz w:val="24"/>
              </w:rPr>
              <w:t>一类（国家级）：特等奖、一等奖、二等奖、三等奖每项分别加6分、4.5分、4分、3分</w:t>
            </w:r>
          </w:p>
          <w:p>
            <w:pPr>
              <w:spacing w:line="400" w:lineRule="exact"/>
              <w:rPr>
                <w:rFonts w:asciiTheme="majorEastAsia" w:hAnsiTheme="majorEastAsia" w:eastAsiaTheme="majorEastAsia"/>
                <w:sz w:val="24"/>
              </w:rPr>
            </w:pPr>
            <w:r>
              <w:rPr>
                <w:rFonts w:hint="eastAsia" w:asciiTheme="majorEastAsia" w:hAnsiTheme="majorEastAsia" w:eastAsiaTheme="majorEastAsia"/>
                <w:sz w:val="24"/>
              </w:rPr>
              <w:t>二类（省级）：特等奖、一等奖、二等奖、三等奖每项分别加4分、3.5分、2分、1.5分</w:t>
            </w:r>
          </w:p>
          <w:p>
            <w:pPr>
              <w:spacing w:line="400" w:lineRule="exact"/>
              <w:rPr>
                <w:rFonts w:asciiTheme="majorEastAsia" w:hAnsiTheme="majorEastAsia" w:eastAsiaTheme="majorEastAsia"/>
                <w:sz w:val="24"/>
              </w:rPr>
            </w:pPr>
            <w:r>
              <w:rPr>
                <w:rFonts w:hint="eastAsia" w:asciiTheme="majorEastAsia" w:hAnsiTheme="majorEastAsia" w:eastAsiaTheme="majorEastAsia"/>
                <w:sz w:val="24"/>
              </w:rPr>
              <w:t>三类（校级）：特等奖、一等奖、二等奖、三等奖每项分别加2分、1.5分、1分、0.5分</w:t>
            </w:r>
          </w:p>
        </w:tc>
        <w:tc>
          <w:tcPr>
            <w:tcW w:w="896" w:type="dxa"/>
          </w:tcPr>
          <w:p>
            <w:pPr>
              <w:spacing w:line="40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25" w:type="dxa"/>
            <w:vAlign w:val="center"/>
          </w:tcPr>
          <w:p>
            <w:pPr>
              <w:pStyle w:val="4"/>
              <w:widowControl/>
              <w:tabs>
                <w:tab w:val="left" w:pos="900"/>
              </w:tabs>
              <w:adjustRightInd w:val="0"/>
              <w:spacing w:beforeAutospacing="0" w:afterAutospacing="0" w:line="0" w:lineRule="atLeast"/>
              <w:jc w:val="center"/>
              <w:rPr>
                <w:rFonts w:asciiTheme="majorEastAsia" w:hAnsiTheme="majorEastAsia" w:eastAsiaTheme="majorEastAsia"/>
              </w:rPr>
            </w:pPr>
            <w:r>
              <w:rPr>
                <w:rFonts w:hint="eastAsia" w:asciiTheme="majorEastAsia" w:hAnsiTheme="majorEastAsia" w:eastAsiaTheme="majorEastAsia"/>
              </w:rPr>
              <w:t>教材建设</w:t>
            </w:r>
          </w:p>
        </w:tc>
        <w:tc>
          <w:tcPr>
            <w:tcW w:w="7311" w:type="dxa"/>
          </w:tcPr>
          <w:p>
            <w:pPr>
              <w:spacing w:line="600" w:lineRule="auto"/>
              <w:rPr>
                <w:rFonts w:asciiTheme="majorEastAsia" w:hAnsiTheme="majorEastAsia" w:eastAsiaTheme="majorEastAsia"/>
                <w:sz w:val="24"/>
              </w:rPr>
            </w:pPr>
            <w:r>
              <w:rPr>
                <w:rFonts w:hint="eastAsia" w:asciiTheme="majorEastAsia" w:hAnsiTheme="majorEastAsia" w:eastAsiaTheme="majorEastAsia"/>
                <w:sz w:val="24"/>
              </w:rPr>
              <w:t>国家级、省级、校级规划教材每本分别加3分、1分、0.5分</w:t>
            </w:r>
          </w:p>
        </w:tc>
        <w:tc>
          <w:tcPr>
            <w:tcW w:w="896" w:type="dxa"/>
          </w:tcPr>
          <w:p>
            <w:pPr>
              <w:spacing w:line="40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225" w:type="dxa"/>
            <w:vAlign w:val="center"/>
          </w:tcPr>
          <w:p>
            <w:pPr>
              <w:pStyle w:val="4"/>
              <w:widowControl/>
              <w:tabs>
                <w:tab w:val="left" w:pos="900"/>
              </w:tabs>
              <w:adjustRightInd w:val="0"/>
              <w:spacing w:beforeAutospacing="0" w:afterAutospacing="0" w:line="0" w:lineRule="atLeast"/>
              <w:jc w:val="center"/>
              <w:rPr>
                <w:rFonts w:asciiTheme="majorEastAsia" w:hAnsiTheme="majorEastAsia" w:eastAsiaTheme="majorEastAsia"/>
              </w:rPr>
            </w:pPr>
            <w:r>
              <w:rPr>
                <w:rFonts w:hint="eastAsia" w:asciiTheme="majorEastAsia" w:hAnsiTheme="majorEastAsia" w:eastAsiaTheme="majorEastAsia"/>
              </w:rPr>
              <w:t>国家协同育人项目</w:t>
            </w:r>
          </w:p>
        </w:tc>
        <w:tc>
          <w:tcPr>
            <w:tcW w:w="7311" w:type="dxa"/>
          </w:tcPr>
          <w:p>
            <w:pPr>
              <w:spacing w:line="400" w:lineRule="exact"/>
              <w:rPr>
                <w:rFonts w:asciiTheme="majorEastAsia" w:hAnsiTheme="majorEastAsia" w:eastAsiaTheme="majorEastAsia"/>
                <w:sz w:val="24"/>
              </w:rPr>
            </w:pPr>
          </w:p>
          <w:p>
            <w:pPr>
              <w:spacing w:line="400" w:lineRule="exact"/>
              <w:rPr>
                <w:rFonts w:asciiTheme="majorEastAsia" w:hAnsiTheme="majorEastAsia" w:eastAsiaTheme="majorEastAsia"/>
                <w:sz w:val="24"/>
              </w:rPr>
            </w:pPr>
            <w:r>
              <w:rPr>
                <w:rFonts w:hint="eastAsia" w:asciiTheme="majorEastAsia" w:hAnsiTheme="majorEastAsia" w:eastAsiaTheme="majorEastAsia"/>
                <w:sz w:val="24"/>
              </w:rPr>
              <w:t>国家产学合作协同育人项目每项加1分</w:t>
            </w:r>
          </w:p>
          <w:p>
            <w:pPr>
              <w:spacing w:line="400" w:lineRule="exact"/>
              <w:rPr>
                <w:rFonts w:asciiTheme="majorEastAsia" w:hAnsiTheme="majorEastAsia" w:eastAsiaTheme="majorEastAsia"/>
                <w:sz w:val="24"/>
              </w:rPr>
            </w:pPr>
          </w:p>
        </w:tc>
        <w:tc>
          <w:tcPr>
            <w:tcW w:w="896" w:type="dxa"/>
          </w:tcPr>
          <w:p>
            <w:pPr>
              <w:spacing w:line="40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25" w:type="dxa"/>
            <w:vAlign w:val="center"/>
          </w:tcPr>
          <w:p>
            <w:pPr>
              <w:pStyle w:val="4"/>
              <w:widowControl/>
              <w:tabs>
                <w:tab w:val="left" w:pos="900"/>
              </w:tabs>
              <w:adjustRightInd w:val="0"/>
              <w:spacing w:beforeAutospacing="0" w:afterAutospacing="0" w:line="0" w:lineRule="atLeast"/>
              <w:jc w:val="center"/>
              <w:rPr>
                <w:rFonts w:asciiTheme="majorEastAsia" w:hAnsiTheme="majorEastAsia" w:eastAsiaTheme="majorEastAsia"/>
              </w:rPr>
            </w:pPr>
            <w:r>
              <w:rPr>
                <w:rFonts w:hint="eastAsia" w:asciiTheme="majorEastAsia" w:hAnsiTheme="majorEastAsia" w:eastAsiaTheme="majorEastAsia"/>
              </w:rPr>
              <w:t>指导学生竞赛获奖</w:t>
            </w:r>
          </w:p>
        </w:tc>
        <w:tc>
          <w:tcPr>
            <w:tcW w:w="7311" w:type="dxa"/>
          </w:tcPr>
          <w:p>
            <w:pPr>
              <w:spacing w:line="400" w:lineRule="exact"/>
              <w:rPr>
                <w:rFonts w:asciiTheme="majorEastAsia" w:hAnsiTheme="majorEastAsia" w:eastAsiaTheme="majorEastAsia"/>
                <w:sz w:val="24"/>
              </w:rPr>
            </w:pPr>
            <w:r>
              <w:rPr>
                <w:rFonts w:hint="eastAsia" w:asciiTheme="majorEastAsia" w:hAnsiTheme="majorEastAsia" w:eastAsiaTheme="majorEastAsia"/>
                <w:sz w:val="24"/>
              </w:rPr>
              <w:t>一类（国家级）：特等奖、一等奖、二等奖、三等奖每项分别加4分、3分、2分、1分</w:t>
            </w:r>
          </w:p>
          <w:p>
            <w:pPr>
              <w:spacing w:line="400" w:lineRule="exact"/>
              <w:rPr>
                <w:rFonts w:asciiTheme="majorEastAsia" w:hAnsiTheme="majorEastAsia" w:eastAsiaTheme="majorEastAsia"/>
                <w:sz w:val="24"/>
              </w:rPr>
            </w:pPr>
            <w:r>
              <w:rPr>
                <w:rFonts w:hint="eastAsia" w:asciiTheme="majorEastAsia" w:hAnsiTheme="majorEastAsia" w:eastAsiaTheme="majorEastAsia"/>
                <w:sz w:val="24"/>
              </w:rPr>
              <w:t>二类（省级）：特等奖、一等奖、二等奖、三等奖每项分别加2分、1.5分、1分、0.5分</w:t>
            </w:r>
          </w:p>
          <w:p>
            <w:pPr>
              <w:spacing w:line="400" w:lineRule="exact"/>
              <w:rPr>
                <w:rFonts w:asciiTheme="majorEastAsia" w:hAnsiTheme="majorEastAsia" w:eastAsiaTheme="majorEastAsia"/>
                <w:sz w:val="24"/>
              </w:rPr>
            </w:pPr>
            <w:r>
              <w:rPr>
                <w:rFonts w:hint="eastAsia" w:asciiTheme="majorEastAsia" w:hAnsiTheme="majorEastAsia" w:eastAsiaTheme="majorEastAsia"/>
                <w:sz w:val="24"/>
              </w:rPr>
              <w:t>三类（校级）：特等奖、一等奖、二等奖、三等奖每项分别加1分、0.5分、0.3分、0.2分</w:t>
            </w:r>
          </w:p>
        </w:tc>
        <w:tc>
          <w:tcPr>
            <w:tcW w:w="896" w:type="dxa"/>
          </w:tcPr>
          <w:p>
            <w:pPr>
              <w:spacing w:line="40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25" w:type="dxa"/>
            <w:vAlign w:val="center"/>
          </w:tcPr>
          <w:p>
            <w:pPr>
              <w:pStyle w:val="4"/>
              <w:widowControl/>
              <w:tabs>
                <w:tab w:val="left" w:pos="900"/>
              </w:tabs>
              <w:adjustRightInd w:val="0"/>
              <w:spacing w:beforeAutospacing="0" w:afterAutospacing="0" w:line="0" w:lineRule="atLeast"/>
              <w:jc w:val="center"/>
              <w:rPr>
                <w:rFonts w:asciiTheme="majorEastAsia" w:hAnsiTheme="majorEastAsia" w:eastAsiaTheme="majorEastAsia"/>
              </w:rPr>
            </w:pPr>
            <w:r>
              <w:rPr>
                <w:rFonts w:hint="eastAsia" w:asciiTheme="majorEastAsia" w:hAnsiTheme="majorEastAsia" w:eastAsiaTheme="majorEastAsia"/>
              </w:rPr>
              <w:t>指导学生毕业设计（论文）</w:t>
            </w:r>
          </w:p>
        </w:tc>
        <w:tc>
          <w:tcPr>
            <w:tcW w:w="7311" w:type="dxa"/>
          </w:tcPr>
          <w:p>
            <w:pPr>
              <w:spacing w:line="720" w:lineRule="auto"/>
              <w:rPr>
                <w:rFonts w:asciiTheme="majorEastAsia" w:hAnsiTheme="majorEastAsia" w:eastAsiaTheme="majorEastAsia"/>
                <w:sz w:val="24"/>
              </w:rPr>
            </w:pPr>
            <w:r>
              <w:rPr>
                <w:rFonts w:hint="eastAsia" w:asciiTheme="majorEastAsia" w:hAnsiTheme="majorEastAsia" w:eastAsiaTheme="majorEastAsia"/>
                <w:sz w:val="24"/>
              </w:rPr>
              <w:t>指导学生毕业设计（论文）获校级优秀等次的每项加0.2分</w:t>
            </w:r>
          </w:p>
        </w:tc>
        <w:tc>
          <w:tcPr>
            <w:tcW w:w="896" w:type="dxa"/>
          </w:tcPr>
          <w:p>
            <w:pPr>
              <w:spacing w:line="40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25" w:type="dxa"/>
            <w:vMerge w:val="restart"/>
            <w:vAlign w:val="center"/>
          </w:tcPr>
          <w:p>
            <w:pPr>
              <w:spacing w:line="400" w:lineRule="exact"/>
              <w:jc w:val="center"/>
              <w:rPr>
                <w:rFonts w:asciiTheme="majorEastAsia" w:hAnsiTheme="majorEastAsia" w:eastAsiaTheme="majorEastAsia"/>
                <w:sz w:val="24"/>
              </w:rPr>
            </w:pPr>
            <w:r>
              <w:rPr>
                <w:rFonts w:hint="eastAsia" w:asciiTheme="majorEastAsia" w:hAnsiTheme="majorEastAsia" w:eastAsiaTheme="majorEastAsia"/>
                <w:sz w:val="24"/>
              </w:rPr>
              <w:t>年度教学工作量</w:t>
            </w:r>
          </w:p>
        </w:tc>
        <w:tc>
          <w:tcPr>
            <w:tcW w:w="7311" w:type="dxa"/>
          </w:tcPr>
          <w:p>
            <w:pPr>
              <w:spacing w:line="400" w:lineRule="exact"/>
              <w:rPr>
                <w:rFonts w:asciiTheme="majorEastAsia" w:hAnsiTheme="majorEastAsia" w:eastAsiaTheme="majorEastAsia"/>
                <w:sz w:val="24"/>
              </w:rPr>
            </w:pPr>
            <w:r>
              <w:rPr>
                <w:rFonts w:hint="eastAsia" w:asciiTheme="majorEastAsia" w:hAnsiTheme="majorEastAsia" w:eastAsiaTheme="majorEastAsia"/>
                <w:sz w:val="24"/>
              </w:rPr>
              <w:t>新开课每门加0.5分</w:t>
            </w:r>
          </w:p>
        </w:tc>
        <w:tc>
          <w:tcPr>
            <w:tcW w:w="896" w:type="dxa"/>
          </w:tcPr>
          <w:p>
            <w:pPr>
              <w:spacing w:line="40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Merge w:val="continue"/>
            <w:vAlign w:val="center"/>
          </w:tcPr>
          <w:p>
            <w:pPr>
              <w:spacing w:line="400" w:lineRule="exact"/>
              <w:jc w:val="center"/>
              <w:rPr>
                <w:rFonts w:asciiTheme="majorEastAsia" w:hAnsiTheme="majorEastAsia" w:eastAsiaTheme="majorEastAsia"/>
                <w:sz w:val="24"/>
              </w:rPr>
            </w:pPr>
          </w:p>
        </w:tc>
        <w:tc>
          <w:tcPr>
            <w:tcW w:w="7311" w:type="dxa"/>
          </w:tcPr>
          <w:p>
            <w:pPr>
              <w:spacing w:line="400" w:lineRule="exact"/>
              <w:rPr>
                <w:rFonts w:asciiTheme="majorEastAsia" w:hAnsiTheme="majorEastAsia" w:eastAsiaTheme="majorEastAsia"/>
                <w:sz w:val="24"/>
              </w:rPr>
            </w:pPr>
            <w:r>
              <w:rPr>
                <w:rFonts w:hint="eastAsia" w:asciiTheme="majorEastAsia" w:hAnsiTheme="majorEastAsia" w:eastAsiaTheme="majorEastAsia"/>
                <w:sz w:val="24"/>
              </w:rPr>
              <w:t>教学工作量超过绩效工资方案规定的额定工作量（320学时）一倍者加1分，超过一半者加0.5分。</w:t>
            </w:r>
          </w:p>
        </w:tc>
        <w:tc>
          <w:tcPr>
            <w:tcW w:w="896" w:type="dxa"/>
          </w:tcPr>
          <w:p>
            <w:pPr>
              <w:spacing w:line="40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225" w:type="dxa"/>
            <w:vAlign w:val="center"/>
          </w:tcPr>
          <w:p>
            <w:pPr>
              <w:spacing w:line="400" w:lineRule="exact"/>
              <w:jc w:val="center"/>
              <w:rPr>
                <w:rFonts w:asciiTheme="majorEastAsia" w:hAnsiTheme="majorEastAsia" w:eastAsiaTheme="majorEastAsia"/>
                <w:sz w:val="24"/>
              </w:rPr>
            </w:pPr>
            <w:r>
              <w:rPr>
                <w:rFonts w:hint="eastAsia" w:asciiTheme="majorEastAsia" w:hAnsiTheme="majorEastAsia" w:eastAsiaTheme="majorEastAsia"/>
                <w:sz w:val="24"/>
              </w:rPr>
              <w:t>总分</w:t>
            </w:r>
          </w:p>
        </w:tc>
        <w:tc>
          <w:tcPr>
            <w:tcW w:w="8207" w:type="dxa"/>
            <w:gridSpan w:val="2"/>
          </w:tcPr>
          <w:p>
            <w:pPr>
              <w:spacing w:line="400" w:lineRule="exact"/>
              <w:rPr>
                <w:rFonts w:asciiTheme="majorEastAsia" w:hAnsiTheme="majorEastAsia" w:eastAsiaTheme="majorEastAsia"/>
                <w:sz w:val="24"/>
              </w:rPr>
            </w:pPr>
          </w:p>
        </w:tc>
      </w:tr>
    </w:tbl>
    <w:p>
      <w:pPr>
        <w:rPr>
          <w:rFonts w:asciiTheme="majorEastAsia" w:hAnsiTheme="majorEastAsia" w:eastAsiaTheme="majorEastAsia"/>
        </w:rPr>
      </w:pPr>
    </w:p>
    <w:p>
      <w:pPr>
        <w:rPr>
          <w:rFonts w:asciiTheme="majorEastAsia" w:hAnsiTheme="majorEastAsia" w:eastAsiaTheme="majorEastAsia"/>
        </w:rPr>
      </w:pPr>
    </w:p>
    <w:p>
      <w:pPr>
        <w:rPr>
          <w:rFonts w:asciiTheme="majorEastAsia" w:hAnsiTheme="majorEastAsia" w:eastAsiaTheme="majorEastAsia"/>
        </w:rPr>
      </w:pPr>
    </w:p>
    <w:p>
      <w:pPr>
        <w:rPr>
          <w:rFonts w:asciiTheme="majorEastAsia" w:hAnsiTheme="majorEastAsia" w:eastAsiaTheme="majorEastAsia"/>
        </w:rPr>
      </w:pPr>
    </w:p>
    <w:p>
      <w:pPr>
        <w:rPr>
          <w:rFonts w:asciiTheme="majorEastAsia" w:hAnsiTheme="majorEastAsia" w:eastAsiaTheme="majorEastAsia"/>
        </w:rPr>
      </w:pPr>
      <w:r>
        <w:rPr>
          <w:rFonts w:hint="eastAsia" w:asciiTheme="majorEastAsia" w:hAnsiTheme="majorEastAsia" w:eastAsiaTheme="majorEastAsia"/>
        </w:rPr>
        <w:t>注:1.教师教学质量考核分为四个等次，优秀是指考核分值≥85，良好是指85&gt;考核分值≥76；合格是指76&gt;考核分值≥60，不合格是指考核分值&lt;60分的教师。</w:t>
      </w:r>
    </w:p>
    <w:p>
      <w:pPr>
        <w:rPr>
          <w:rFonts w:asciiTheme="majorEastAsia" w:hAnsiTheme="majorEastAsia" w:eastAsiaTheme="majorEastAsia"/>
        </w:rPr>
      </w:pPr>
      <w:r>
        <w:rPr>
          <w:rFonts w:hint="eastAsia" w:asciiTheme="majorEastAsia" w:hAnsiTheme="majorEastAsia" w:eastAsiaTheme="majorEastAsia"/>
        </w:rPr>
        <w:t xml:space="preserve">   2.表中加分项目分类按照皖教人〔2016〕1号《安徽省普通本科高等学校教师专业技术资格申报条件》的分类标准执行。</w:t>
      </w:r>
    </w:p>
    <w:p/>
    <w:p>
      <w:pPr>
        <w:rPr>
          <w:rFonts w:ascii="宋体" w:hAnsi="宋体" w:eastAsia="宋体" w:cs="宋体"/>
          <w:color w:val="444444"/>
          <w:sz w:val="24"/>
        </w:rPr>
      </w:pPr>
    </w:p>
    <w:p>
      <w:pPr>
        <w:rPr>
          <w:rFonts w:ascii="宋体" w:hAnsi="宋体" w:eastAsia="宋体" w:cs="宋体"/>
          <w:color w:val="444444"/>
          <w:sz w:val="24"/>
        </w:rPr>
      </w:pPr>
    </w:p>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4D42C2"/>
    <w:multiLevelType w:val="singleLevel"/>
    <w:tmpl w:val="E44D42C2"/>
    <w:lvl w:ilvl="0" w:tentative="0">
      <w:start w:val="1"/>
      <w:numFmt w:val="chineseCounting"/>
      <w:suff w:val="nothing"/>
      <w:lvlText w:val="（%1）"/>
      <w:lvlJc w:val="left"/>
      <w:rPr>
        <w:rFonts w:hint="eastAsia"/>
      </w:rPr>
    </w:lvl>
  </w:abstractNum>
  <w:abstractNum w:abstractNumId="1">
    <w:nsid w:val="E69D54BC"/>
    <w:multiLevelType w:val="singleLevel"/>
    <w:tmpl w:val="E69D54BC"/>
    <w:lvl w:ilvl="0" w:tentative="0">
      <w:start w:val="2"/>
      <w:numFmt w:val="chineseCounting"/>
      <w:suff w:val="nothing"/>
      <w:lvlText w:val="%1、"/>
      <w:lvlJc w:val="left"/>
      <w:rPr>
        <w:rFonts w:hint="eastAsia"/>
      </w:rPr>
    </w:lvl>
  </w:abstractNum>
  <w:abstractNum w:abstractNumId="2">
    <w:nsid w:val="48FE7DF2"/>
    <w:multiLevelType w:val="multilevel"/>
    <w:tmpl w:val="48FE7DF2"/>
    <w:lvl w:ilvl="0" w:tentative="0">
      <w:start w:val="1"/>
      <w:numFmt w:val="japaneseCounting"/>
      <w:lvlText w:val="（%1）"/>
      <w:lvlJc w:val="left"/>
      <w:pPr>
        <w:ind w:left="1415" w:hanging="85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46E"/>
    <w:rsid w:val="000174BE"/>
    <w:rsid w:val="000234DF"/>
    <w:rsid w:val="00043862"/>
    <w:rsid w:val="000E3C27"/>
    <w:rsid w:val="001066B4"/>
    <w:rsid w:val="00113974"/>
    <w:rsid w:val="00160174"/>
    <w:rsid w:val="0018320C"/>
    <w:rsid w:val="001F59E7"/>
    <w:rsid w:val="00217138"/>
    <w:rsid w:val="00237459"/>
    <w:rsid w:val="00253562"/>
    <w:rsid w:val="00271173"/>
    <w:rsid w:val="0028764F"/>
    <w:rsid w:val="002F593D"/>
    <w:rsid w:val="00325918"/>
    <w:rsid w:val="00361C30"/>
    <w:rsid w:val="003736D5"/>
    <w:rsid w:val="003A6A6C"/>
    <w:rsid w:val="00446772"/>
    <w:rsid w:val="00463120"/>
    <w:rsid w:val="00480D04"/>
    <w:rsid w:val="004D0B54"/>
    <w:rsid w:val="004E1816"/>
    <w:rsid w:val="00523E09"/>
    <w:rsid w:val="00531AF8"/>
    <w:rsid w:val="00572292"/>
    <w:rsid w:val="005B3A31"/>
    <w:rsid w:val="006452AA"/>
    <w:rsid w:val="0066684C"/>
    <w:rsid w:val="00673A82"/>
    <w:rsid w:val="00677FA8"/>
    <w:rsid w:val="006843CC"/>
    <w:rsid w:val="00687833"/>
    <w:rsid w:val="006D1996"/>
    <w:rsid w:val="006D2549"/>
    <w:rsid w:val="00701ED4"/>
    <w:rsid w:val="007622A1"/>
    <w:rsid w:val="0076428A"/>
    <w:rsid w:val="0077358E"/>
    <w:rsid w:val="00783A5A"/>
    <w:rsid w:val="007B5A23"/>
    <w:rsid w:val="007C66EE"/>
    <w:rsid w:val="007D1EF8"/>
    <w:rsid w:val="007E27B2"/>
    <w:rsid w:val="00804A3A"/>
    <w:rsid w:val="0084446E"/>
    <w:rsid w:val="0086556C"/>
    <w:rsid w:val="008713E9"/>
    <w:rsid w:val="0087297D"/>
    <w:rsid w:val="008C3E70"/>
    <w:rsid w:val="008C7A4B"/>
    <w:rsid w:val="008E1239"/>
    <w:rsid w:val="008E246C"/>
    <w:rsid w:val="0093073E"/>
    <w:rsid w:val="00931CCA"/>
    <w:rsid w:val="0094133F"/>
    <w:rsid w:val="009508CE"/>
    <w:rsid w:val="009711EF"/>
    <w:rsid w:val="0098585C"/>
    <w:rsid w:val="00996EF8"/>
    <w:rsid w:val="009A1130"/>
    <w:rsid w:val="009A4082"/>
    <w:rsid w:val="009F636B"/>
    <w:rsid w:val="00A567E6"/>
    <w:rsid w:val="00A62905"/>
    <w:rsid w:val="00A7651E"/>
    <w:rsid w:val="00AB16D7"/>
    <w:rsid w:val="00AC3E72"/>
    <w:rsid w:val="00BA3461"/>
    <w:rsid w:val="00BB4E77"/>
    <w:rsid w:val="00BC564B"/>
    <w:rsid w:val="00C01142"/>
    <w:rsid w:val="00C06F42"/>
    <w:rsid w:val="00C65765"/>
    <w:rsid w:val="00C671AF"/>
    <w:rsid w:val="00CC7DF4"/>
    <w:rsid w:val="00CD2A54"/>
    <w:rsid w:val="00D07B5B"/>
    <w:rsid w:val="00D2695E"/>
    <w:rsid w:val="00D31669"/>
    <w:rsid w:val="00DF2BB9"/>
    <w:rsid w:val="00E52DDE"/>
    <w:rsid w:val="00EC3381"/>
    <w:rsid w:val="00ED3509"/>
    <w:rsid w:val="00EE7EAA"/>
    <w:rsid w:val="00EF16C1"/>
    <w:rsid w:val="00F4791D"/>
    <w:rsid w:val="00F62CCF"/>
    <w:rsid w:val="00F7542F"/>
    <w:rsid w:val="00F85E2B"/>
    <w:rsid w:val="00FC5844"/>
    <w:rsid w:val="00FE092A"/>
    <w:rsid w:val="00FF5394"/>
    <w:rsid w:val="014F4392"/>
    <w:rsid w:val="01CA59CA"/>
    <w:rsid w:val="05196554"/>
    <w:rsid w:val="0555122D"/>
    <w:rsid w:val="05840805"/>
    <w:rsid w:val="06B82791"/>
    <w:rsid w:val="08C002FC"/>
    <w:rsid w:val="09470454"/>
    <w:rsid w:val="09AC6996"/>
    <w:rsid w:val="0A250582"/>
    <w:rsid w:val="0BB90204"/>
    <w:rsid w:val="0DBB1E12"/>
    <w:rsid w:val="0DC4153B"/>
    <w:rsid w:val="0F073C9B"/>
    <w:rsid w:val="10627C43"/>
    <w:rsid w:val="119A2F78"/>
    <w:rsid w:val="127028DD"/>
    <w:rsid w:val="13215536"/>
    <w:rsid w:val="13B0541D"/>
    <w:rsid w:val="156F7170"/>
    <w:rsid w:val="16D4556F"/>
    <w:rsid w:val="16D90D73"/>
    <w:rsid w:val="1736585C"/>
    <w:rsid w:val="17912894"/>
    <w:rsid w:val="17FE45F2"/>
    <w:rsid w:val="190D145A"/>
    <w:rsid w:val="19132BFE"/>
    <w:rsid w:val="195832EE"/>
    <w:rsid w:val="1D040B6F"/>
    <w:rsid w:val="1D5F1FC1"/>
    <w:rsid w:val="1D9C6B8C"/>
    <w:rsid w:val="1E381A4D"/>
    <w:rsid w:val="1E8B2A36"/>
    <w:rsid w:val="1E8F17B7"/>
    <w:rsid w:val="1EFB4942"/>
    <w:rsid w:val="1F6841D3"/>
    <w:rsid w:val="1FC73285"/>
    <w:rsid w:val="1FE6358A"/>
    <w:rsid w:val="201C0154"/>
    <w:rsid w:val="20247926"/>
    <w:rsid w:val="20953269"/>
    <w:rsid w:val="20C976D2"/>
    <w:rsid w:val="20EC7ECA"/>
    <w:rsid w:val="21270C31"/>
    <w:rsid w:val="2188546F"/>
    <w:rsid w:val="234860BE"/>
    <w:rsid w:val="24186386"/>
    <w:rsid w:val="24DE130B"/>
    <w:rsid w:val="265405AF"/>
    <w:rsid w:val="275131A5"/>
    <w:rsid w:val="29035A76"/>
    <w:rsid w:val="2A305702"/>
    <w:rsid w:val="2B575B28"/>
    <w:rsid w:val="2B963C5A"/>
    <w:rsid w:val="2BFF09A6"/>
    <w:rsid w:val="2CF60BAB"/>
    <w:rsid w:val="2D8A1A9E"/>
    <w:rsid w:val="2E4A04D1"/>
    <w:rsid w:val="2FAA0F9B"/>
    <w:rsid w:val="2FFC5729"/>
    <w:rsid w:val="304A5F94"/>
    <w:rsid w:val="30782B5C"/>
    <w:rsid w:val="313E0748"/>
    <w:rsid w:val="31D849DA"/>
    <w:rsid w:val="32420D0F"/>
    <w:rsid w:val="32A57B2E"/>
    <w:rsid w:val="32C22469"/>
    <w:rsid w:val="333065A2"/>
    <w:rsid w:val="345C6629"/>
    <w:rsid w:val="356E100E"/>
    <w:rsid w:val="36203494"/>
    <w:rsid w:val="36221E9A"/>
    <w:rsid w:val="36E4760C"/>
    <w:rsid w:val="36EB2E9D"/>
    <w:rsid w:val="379926C9"/>
    <w:rsid w:val="380C348C"/>
    <w:rsid w:val="38BF4BE0"/>
    <w:rsid w:val="39795EDF"/>
    <w:rsid w:val="3A380B0D"/>
    <w:rsid w:val="3AD94D09"/>
    <w:rsid w:val="3AE87CA1"/>
    <w:rsid w:val="3B6A2A5F"/>
    <w:rsid w:val="3B8A15D9"/>
    <w:rsid w:val="3C2B5D9D"/>
    <w:rsid w:val="3CD10E5F"/>
    <w:rsid w:val="3D031E02"/>
    <w:rsid w:val="3D3660A7"/>
    <w:rsid w:val="3F770134"/>
    <w:rsid w:val="3FCC4EEC"/>
    <w:rsid w:val="414971A4"/>
    <w:rsid w:val="418D26F2"/>
    <w:rsid w:val="41B727F2"/>
    <w:rsid w:val="41DC3CC6"/>
    <w:rsid w:val="43543AFE"/>
    <w:rsid w:val="44AC34C9"/>
    <w:rsid w:val="455B0C80"/>
    <w:rsid w:val="45EC24C9"/>
    <w:rsid w:val="460A2446"/>
    <w:rsid w:val="46501AC1"/>
    <w:rsid w:val="46D303EF"/>
    <w:rsid w:val="477F6230"/>
    <w:rsid w:val="48866481"/>
    <w:rsid w:val="4A44045A"/>
    <w:rsid w:val="4A571ACE"/>
    <w:rsid w:val="4B201BC8"/>
    <w:rsid w:val="4C1120EC"/>
    <w:rsid w:val="4C577FBD"/>
    <w:rsid w:val="4D6754B0"/>
    <w:rsid w:val="4E676F5D"/>
    <w:rsid w:val="4F2A4015"/>
    <w:rsid w:val="4F866875"/>
    <w:rsid w:val="515627DD"/>
    <w:rsid w:val="51591EF5"/>
    <w:rsid w:val="526E28A9"/>
    <w:rsid w:val="53AA0EBC"/>
    <w:rsid w:val="53B90C4D"/>
    <w:rsid w:val="548E4660"/>
    <w:rsid w:val="54AC6D49"/>
    <w:rsid w:val="564841FB"/>
    <w:rsid w:val="56C64FCB"/>
    <w:rsid w:val="57D34B6F"/>
    <w:rsid w:val="596E789B"/>
    <w:rsid w:val="5A470CB5"/>
    <w:rsid w:val="5B684970"/>
    <w:rsid w:val="5B795136"/>
    <w:rsid w:val="5B832C42"/>
    <w:rsid w:val="5BEA10D1"/>
    <w:rsid w:val="5C7112BA"/>
    <w:rsid w:val="5CB35001"/>
    <w:rsid w:val="5DBE5AD3"/>
    <w:rsid w:val="5E0C1F80"/>
    <w:rsid w:val="5FFB48AD"/>
    <w:rsid w:val="606B205D"/>
    <w:rsid w:val="61486AE5"/>
    <w:rsid w:val="618B1F62"/>
    <w:rsid w:val="62DB3283"/>
    <w:rsid w:val="64BB6454"/>
    <w:rsid w:val="651034F6"/>
    <w:rsid w:val="65FC491C"/>
    <w:rsid w:val="66CA0F2A"/>
    <w:rsid w:val="67774169"/>
    <w:rsid w:val="67F71393"/>
    <w:rsid w:val="69840517"/>
    <w:rsid w:val="6A62250F"/>
    <w:rsid w:val="6A71157C"/>
    <w:rsid w:val="6AB42CFB"/>
    <w:rsid w:val="6B321142"/>
    <w:rsid w:val="6C29132F"/>
    <w:rsid w:val="6D6B44AD"/>
    <w:rsid w:val="6D7508DD"/>
    <w:rsid w:val="6DB42F39"/>
    <w:rsid w:val="6EA22C78"/>
    <w:rsid w:val="6EF95F2D"/>
    <w:rsid w:val="6F822A2E"/>
    <w:rsid w:val="70651755"/>
    <w:rsid w:val="74395C05"/>
    <w:rsid w:val="74A51199"/>
    <w:rsid w:val="75612034"/>
    <w:rsid w:val="759D529D"/>
    <w:rsid w:val="75C81BCD"/>
    <w:rsid w:val="75F513E8"/>
    <w:rsid w:val="77BF5229"/>
    <w:rsid w:val="78144309"/>
    <w:rsid w:val="78181D7E"/>
    <w:rsid w:val="78B61657"/>
    <w:rsid w:val="79821033"/>
    <w:rsid w:val="7AD75C34"/>
    <w:rsid w:val="7B6E028F"/>
    <w:rsid w:val="7CC50AA5"/>
    <w:rsid w:val="7F586662"/>
    <w:rsid w:val="7FB14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FollowedHyperlink"/>
    <w:basedOn w:val="6"/>
    <w:qFormat/>
    <w:uiPriority w:val="0"/>
    <w:rPr>
      <w:color w:val="800080"/>
      <w:u w:val="none"/>
    </w:rPr>
  </w:style>
  <w:style w:type="character" w:styleId="8">
    <w:name w:val="Emphasis"/>
    <w:basedOn w:val="6"/>
    <w:qFormat/>
    <w:uiPriority w:val="0"/>
    <w:rPr>
      <w:i/>
    </w:rPr>
  </w:style>
  <w:style w:type="character" w:styleId="9">
    <w:name w:val="Hyperlink"/>
    <w:basedOn w:val="6"/>
    <w:qFormat/>
    <w:uiPriority w:val="0"/>
    <w:rPr>
      <w:color w:val="0000FF"/>
      <w:u w:val="none"/>
    </w:rPr>
  </w:style>
  <w:style w:type="character" w:customStyle="1" w:styleId="10">
    <w:name w:val="teaname"/>
    <w:basedOn w:val="6"/>
    <w:qFormat/>
    <w:uiPriority w:val="0"/>
    <w:rPr>
      <w:b/>
      <w:color w:val="333333"/>
      <w:sz w:val="27"/>
      <w:szCs w:val="27"/>
    </w:rPr>
  </w:style>
  <w:style w:type="character" w:customStyle="1" w:styleId="11">
    <w:name w:val="on"/>
    <w:basedOn w:val="6"/>
    <w:qFormat/>
    <w:uiPriority w:val="0"/>
    <w:rPr>
      <w:shd w:val="clear" w:color="auto" w:fill="3E8EE2"/>
    </w:rPr>
  </w:style>
  <w:style w:type="character" w:customStyle="1" w:styleId="12">
    <w:name w:val="teaname1"/>
    <w:basedOn w:val="6"/>
    <w:qFormat/>
    <w:uiPriority w:val="0"/>
    <w:rPr>
      <w:b/>
      <w:color w:val="333333"/>
      <w:sz w:val="27"/>
      <w:szCs w:val="27"/>
    </w:rPr>
  </w:style>
  <w:style w:type="character" w:customStyle="1" w:styleId="13">
    <w:name w:val="页眉 Char"/>
    <w:basedOn w:val="6"/>
    <w:link w:val="3"/>
    <w:qFormat/>
    <w:uiPriority w:val="0"/>
    <w:rPr>
      <w:rFonts w:asciiTheme="minorHAnsi" w:hAnsiTheme="minorHAnsi" w:eastAsiaTheme="minorEastAsia" w:cstheme="minorBidi"/>
      <w:kern w:val="2"/>
      <w:sz w:val="18"/>
      <w:szCs w:val="18"/>
    </w:rPr>
  </w:style>
  <w:style w:type="character" w:customStyle="1" w:styleId="14">
    <w:name w:val="页脚 Char"/>
    <w:basedOn w:val="6"/>
    <w:link w:val="2"/>
    <w:qFormat/>
    <w:uiPriority w:val="0"/>
    <w:rPr>
      <w:rFonts w:asciiTheme="minorHAnsi" w:hAnsiTheme="minorHAnsi" w:eastAsiaTheme="minorEastAsia" w:cstheme="minorBidi"/>
      <w:kern w:val="2"/>
      <w:sz w:val="18"/>
      <w:szCs w:val="18"/>
    </w:rPr>
  </w:style>
  <w:style w:type="paragraph" w:styleId="1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512</Words>
  <Characters>2923</Characters>
  <Lines>24</Lines>
  <Paragraphs>6</Paragraphs>
  <TotalTime>0</TotalTime>
  <ScaleCrop>false</ScaleCrop>
  <LinksUpToDate>false</LinksUpToDate>
  <CharactersWithSpaces>3429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袁大胖</cp:lastModifiedBy>
  <cp:lastPrinted>2020-06-09T01:00:00Z</cp:lastPrinted>
  <dcterms:modified xsi:type="dcterms:W3CDTF">2020-06-10T02:46:51Z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